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0" w:after="120"/>
        <w:keepNext w:val="1"/>
      </w:pPr>
      <w:r>
        <w:rPr>
          <w:rFonts w:ascii="Calibri" w:hAnsi="Calibri" w:eastAsia="Calibri"/>
          <w:sz w:val="27"/>
          <w:b/>
          <w:color w:val="1D674B"/>
        </w:rPr>
        <w:t xml:space="preserve">Самооценка Дембо - Рубинштейн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Модификация А. М. Прихожан · методика и протокол специалиста · Психотека</w:t>
      </w:r>
    </w:p>
    <w:p>
      <w:pPr>
        <w:spacing w:before="200" w:after="120"/>
        <w:keepNext w:val="1"/>
      </w:pPr>
      <w:r>
        <w:rPr>
          <w:rFonts w:ascii="Calibri" w:hAnsi="Calibri" w:eastAsia="Calibri"/>
          <w:sz w:val="27"/>
          <w:b/>
          <w:color w:val="1D674B"/>
        </w:rPr>
        <w:t xml:space="preserve">Портфолио методики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Авторы: Т. В. Дембо, С. Я. Рубинштейн; модификация А. М. Прихожан. Вид: графическая методика оценки самооценки и уровня притязаний.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Возраст: подростки. Опубликованные сопоставительные нормативы привязаны к конкретным выборкам, например 7-10 классам городских школ; не переносите их автоматически на другие возрастные группы.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Цель: исследование текущей самооценки, желаемого уровня развития личностных качеств и разницы между ними.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Материал: семь вертикальных линий по 100 мм. Каждая линия обозначает качество. Время: ориентировочно 10-12 минут.</w:t>
      </w:r>
    </w:p>
    <w:p>
      <w:pPr>
        <w:spacing w:before="200" w:after="120"/>
        <w:keepNext w:val="1"/>
      </w:pPr>
      <w:r>
        <w:rPr>
          <w:rFonts w:ascii="Calibri" w:hAnsi="Calibri" w:eastAsia="Calibri"/>
          <w:sz w:val="27"/>
          <w:b/>
          <w:color w:val="1D674B"/>
        </w:rPr>
        <w:t xml:space="preserve">Список шкал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1. Здоровье (тренировочная, исключается из итогового подсчета).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2. Ум, способности.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3. Характер.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4. Авторитет у сверстников.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5. Умелые руки, способность многое делать самостоятельно.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6. Внешность.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7. Уверенность в себе.</w:t>
      </w:r>
    </w:p>
    <w:p>
      <w:pPr>
        <w:spacing w:before="200" w:after="120"/>
        <w:keepNext w:val="1"/>
      </w:pPr>
      <w:r>
        <w:rPr>
          <w:rFonts w:ascii="Calibri" w:hAnsi="Calibri" w:eastAsia="Calibri"/>
          <w:sz w:val="27"/>
          <w:b/>
          <w:color w:val="1D674B"/>
        </w:rPr>
        <w:t xml:space="preserve">Инструкция и процедура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Каждая вертикальная линия отражает степень развития указанного качества: нижний конец — минимум, верхний — максимум. На каждой шкале подросток ставит черту (—), соответствующую оценке себя сейчас, и крестик (×) на том уровне, на котором он хотел бы находиться.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Начните со шкалы «Здоровье», убедитесь, что инструкции понятны. Дальше ребенок отмечает остальные шесть линий самостоятельно. Применяйте одинаковые правила для всего класса.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Выдайте бланк «dembo_prikhozhan_student.html». Печатайте А4 строго в масштабе 100%, чтобы расстояние между концами линий составляло 100 мм.</w:t>
      </w:r>
    </w:p>
    <w:p>
      <w:pPr>
        <w:spacing w:before="200" w:after="120"/>
        <w:keepNext w:val="1"/>
      </w:pPr>
      <w:r>
        <w:rPr>
          <w:rFonts w:ascii="Calibri" w:hAnsi="Calibri" w:eastAsia="Calibri"/>
          <w:sz w:val="27"/>
          <w:b/>
          <w:color w:val="1D674B"/>
        </w:rPr>
        <w:t xml:space="preserve">Протокол измерения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Измерьте на каждом бланке оба расстояния линейкой от НИЖНЕЙ границы. Самооценка = расстояние до черты «—», притязания = расстояние до крестика «×». Каждое от 0 до 100 мм.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Разница = притязания минус самооценка. Отрицательная разница означает, что желаемая отметка находится ниже текущей. Числа 0-100 вводятся в обработчик без округления шкалы до категорий.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Код участника: _______________________   Класс / возраст: ______________  Дата: ____________</w:t>
      </w:r>
    </w:p>
    <w:tbl>
      <w:tblPr>
        <w:tblBorders>
          <w:top w:val="single" w:sz="4" w:color="ACC8B8"/>
          <w:bottom w:val="single" w:sz="4" w:color="ACC8B8"/>
          <w:insideH w:val="single" w:sz="4" w:color="C9E0D1"/>
          <w:insideV w:val="single" w:sz="4" w:color="C9E0D1"/>
        </w:tblBorders>
      </w:tblPr>
      <w:tr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Шкала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Самооценка, мм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Притязания, мм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Разница</w:t>
            </w:r>
          </w:p>
        </w:tc>
      </w:tr>
      <w:tr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Здоровье — тренировка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</w:tr>
      <w:tr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Ум, способности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</w:tr>
      <w:tr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Характер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</w:tr>
      <w:tr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Авторитет у сверстников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</w:tr>
      <w:tr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Умелые руки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</w:tr>
      <w:tr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Внешность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</w:tr>
      <w:tr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Уверенность в себе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  <w:tc>
          <w:tcPr>
            <w:tcW w:w="2100" w:type="dxa"/>
          </w:tcPr>
          <w:p>
            <w:pPr>
              <w:spacing w:before="0" w:after="70"/>
              <w:keepNext w:val="0"/>
            </w:pPr>
            <w:r>
              <w:rPr>
                <w:rFonts w:ascii="Calibri" w:hAnsi="Calibri" w:eastAsia="Calibri"/>
                <w:sz w:val="21"/>
              </w:rPr>
              <w:t xml:space="preserve">________</w:t>
            </w:r>
          </w:p>
        </w:tc>
      </w:tr>
    </w:tbl>
    <w:p>
      <w:pPr>
        <w:spacing w:before="200" w:after="120"/>
        <w:keepNext w:val="1"/>
      </w:pPr>
      <w:r>
        <w:rPr>
          <w:rFonts w:ascii="Calibri" w:hAnsi="Calibri" w:eastAsia="Calibri"/>
          <w:sz w:val="27"/>
          <w:b/>
          <w:color w:val="1D674B"/>
        </w:rPr>
        <w:t xml:space="preserve">Правила сводного подсчета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Тренировочную шкалу «Здоровье» не включают. Для оставшихся шести шкал вычисляют среднее арифметическое самооценки, уровень притязаний и разницу. В обработчике отдельно доступна медиана — для сравнения форматов описания результатов.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Проверка арифметики: средняя разница равна средним притязаниям минус средней самооценке (расхождения десятых могут быть следствием округления). Пропущенные отметки не приравнивают к нулю.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Итоги (6 основных шкал): самооценка _________ / 100; притязания _________ / 100; расхождение _________.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Наблюдения специалиста: __________________________________________________________________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Пояснения ребенка к отметкам и значимым расхождениям: ________________________________________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________________________________________________________________________________________</w:t>
      </w:r>
    </w:p>
    <w:p>
      <w:pPr>
        <w:spacing w:before="200" w:after="120"/>
        <w:keepNext w:val="1"/>
      </w:pPr>
      <w:r>
        <w:rPr>
          <w:rFonts w:ascii="Calibri" w:hAnsi="Calibri" w:eastAsia="Calibri"/>
          <w:sz w:val="27"/>
          <w:b/>
          <w:color w:val="1D674B"/>
        </w:rPr>
        <w:t xml:space="preserve">Ограничения и источники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В опубликованных руководствах встречаются варианты названий шкал и суммирования (среднее арифметическое или медиана). Численные возрастные пороги относятся к конкретной выборке, а не универсальны. Психологическое заключение не выносится только по одному бланку.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Описание метода и обработки: https://psylist.net/praktikum/15-htm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Методический сборник (раздел Дембо-Рубинштейн, стр. 14–16): https://iro23.ru/wp-content/uploads/2024/01/141_%E2%84%9618.pdf</w:t>
      </w:r>
    </w:p>
    <w:p>
      <w:pPr>
        <w:spacing w:before="0" w:after="70"/>
        <w:keepNext w:val="0"/>
      </w:pPr>
      <w:r>
        <w:rPr>
          <w:rFonts w:ascii="Calibri" w:hAnsi="Calibri" w:eastAsia="Calibri"/>
          <w:sz w:val="21"/>
        </w:rPr>
        <w:t xml:space="preserve">Печатный бланк Психотеки: downloads/dembo_prikhozhan_student.html. Источник для возрастной интерпретации должен соответствовать конкретной исследованной группе.</w:t>
      </w:r>
    </w:p>
    <w:sectPr>
      <w:pgSz w:w="11906" w:h="16838"/>
      <w:pgMar w:top="950" w:bottom="950" w:left="1000" w:right="1000"/>
    </w:sectPr>
  </w:body>
</w:document>
</file>