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  <w:spacing w:after="112"/>
      </w:pPr>
      <w:r>
        <w:t xml:space="preserve">Индекс хорошего самочувствия WHO-5</w:t>
      </w:r>
    </w:p>
    <w:p>
      <w:pPr>
        <w:pStyle w:val="Subtitle"/>
        <w:spacing w:after="112"/>
      </w:pPr>
      <w:r>
        <w:t xml:space="preserve">Методика для школьного психолога · паспорт, проведение, бланк, ключ, интерпретация</w:t>
      </w:r>
    </w:p>
    <w:p>
      <w:pPr>
        <w:pStyle w:val="Normal"/>
        <w:spacing w:after="112"/>
      </w:pPr>
      <w:r>
        <w:t xml:space="preserve">Психотека · версия 25 октября 2026 г.</w:t>
      </w:r>
    </w:p>
    <w:p>
      <w:pPr>
        <w:pStyle w:val="Heading1"/>
        <w:spacing w:after="215"/>
        <w:keepNext/>
      </w:pPr>
      <w:r>
        <w:t xml:space="preserve">01. Паспорт методики</w:t>
      </w:r>
    </w:p>
    <w:p>
      <w:pPr>
        <w:pStyle w:val="Normal"/>
        <w:spacing w:after="112"/>
      </w:pPr>
      <w:r>
        <w:t xml:space="preserve">Название: WHO-5 Well-Being Index / Индекс общего (хорошего) самочувствия ВОЗ. Авторы и происхождение: Пер Бех (Per Bech), Psychiatric Research Unit WHO Collaborating Centre for Mental Health; ВОЗ получила авторские права в 2024 году.</w:t>
      </w:r>
    </w:p>
    <w:p>
      <w:pPr>
        <w:pStyle w:val="Normal"/>
        <w:spacing w:after="112"/>
      </w:pPr>
      <w:r>
        <w:t xml:space="preserve">Цель: оценка субъективного положительного психологического благополучия за последние две недели. Это НЕ диагностический тест на депрессию и не оценка школьной тревожности.</w:t>
      </w:r>
    </w:p>
    <w:p>
      <w:pPr>
        <w:pStyle w:val="Normal"/>
        <w:spacing w:after="112"/>
      </w:pPr>
      <w:r>
        <w:t xml:space="preserve">Форма: индивидуальный самоотчет, пять утверждений, шесть вариантов ответа для каждого (5, 4, 3, 2, 1, 0). По желанию можно использовать лист регистрации ответов, но предъявлять необходимо полный официальный текст.</w:t>
      </w:r>
    </w:p>
    <w:p>
      <w:pPr>
        <w:pStyle w:val="Normal"/>
        <w:spacing w:after="112"/>
      </w:pPr>
      <w:r>
        <w:t xml:space="preserve">Возраст: в первую очередь подростки и взрослые; для младших школьников решение об использовании принимают на основании возраста, способности понимать формулировки и валидности конкретной языковой версии. Переносить взрослые пороги на школьников без оснований недопустимо.</w:t>
      </w:r>
    </w:p>
    <w:p>
      <w:pPr>
        <w:pStyle w:val="Normal"/>
        <w:spacing w:after="112"/>
      </w:pPr>
      <w:r>
        <w:t xml:space="preserve">Атрибуция: World Health Organization, WHO-5 (2024), CC BY-NC-SA 3.0 IGO. Официальная публикация: https://www.who.int/ru/publications/m/item/WHO-UCN-MSD-MHE-2024.01</w:t>
      </w:r>
    </w:p>
    <w:p>
      <w:pPr>
        <w:pStyle w:val="Heading1"/>
        <w:spacing w:after="215"/>
        <w:keepNext/>
      </w:pPr>
      <w:r>
        <w:t xml:space="preserve">02. Комплект для Психотеки</w:t>
      </w:r>
    </w:p>
    <w:p>
      <w:pPr>
        <w:pStyle w:val="Normal"/>
        <w:spacing w:after="112"/>
      </w:pPr>
      <w:r>
        <w:t xml:space="preserve">1) Настоящее руководство Word: цель, условия, инструкция, ключ, результаты, проверки и ограничения. 2) Локальный печатный регистрационный лист А4 для ученика. 3) Ссылка на официальный полный русский текст WHO-5. 4) Интерактивный калькулятор индивидуально и для класса. 5) Индивидуальный HTML-протокол и групповая выгрузка CSV для Excel.</w:t>
      </w:r>
    </w:p>
    <w:p>
      <w:pPr>
        <w:pStyle w:val="Normal"/>
        <w:spacing w:after="112"/>
      </w:pPr>
      <w:r>
        <w:t xml:space="preserve">Особенность русской версии: ВОЗ распространяет перевод из более ранней публикации Psychiatric Centre North Zealand и отдельно предупреждает, что не отвечает за его точность. При противоречиях первичным является английский текст. Не называйте локальные тематические подсказки «валидизированным переводом».</w:t>
      </w:r>
    </w:p>
    <w:p>
      <w:pPr>
        <w:pStyle w:val="Normal"/>
        <w:spacing w:after="112"/>
      </w:pPr>
      <w:r>
        <w:t xml:space="preserve">Полный официальный русскоязычный PDF ВОЗ: https://cdn.who.int/media/docs/default-source/mental-health/who-5_russian.pdf?sfvrsn=ed43f352_11</w:t>
      </w:r>
    </w:p>
    <w:p>
      <w:pPr>
        <w:pStyle w:val="Heading1"/>
        <w:spacing w:after="215"/>
        <w:keepNext/>
      </w:pPr>
      <w:r>
        <w:t xml:space="preserve">03. Подготовка и этика</w:t>
      </w:r>
    </w:p>
    <w:p>
      <w:pPr>
        <w:pStyle w:val="Normal"/>
        <w:spacing w:after="112"/>
      </w:pPr>
      <w:r>
        <w:t xml:space="preserve">Применяйте WHO-5 по понятной ребенку цели, с необходимыми согласиями и конфиденциальным хранением ответов. Избегайте сбора ФИО на демонстрационном сайте: используйте условный код. Объясните, что ответы помогают понять текущее самочувствие и не оцениваются как «правильные» или «неправильные».</w:t>
      </w:r>
    </w:p>
    <w:p>
      <w:pPr>
        <w:pStyle w:val="Normal"/>
        <w:spacing w:after="112"/>
      </w:pPr>
      <w:r>
        <w:t xml:space="preserve">Для обследования нужна именно полная версия пяти утверждений, напечатанная из документа ВОЗ. Регистрационный лист Психотеки содержит лишь номера, ответные значения и тематические ориентиры. Он не предназначен для замены авторского опросника.</w:t>
      </w:r>
    </w:p>
    <w:p>
      <w:pPr>
        <w:pStyle w:val="Heading1"/>
        <w:spacing w:after="215"/>
        <w:keepNext/>
      </w:pPr>
      <w:r>
        <w:t xml:space="preserve">04. Проведение</w:t>
      </w:r>
    </w:p>
    <w:p>
      <w:pPr>
        <w:pStyle w:val="Normal"/>
        <w:spacing w:after="112"/>
      </w:pPr>
      <w:r>
        <w:t xml:space="preserve">1. Предъявите участнику официальный русский PDF (или проверенный вариант на подходящем языке). Убедитесь в понимании временного периода — последние две недели.</w:t>
      </w:r>
    </w:p>
    <w:p>
      <w:pPr>
        <w:pStyle w:val="Normal"/>
        <w:spacing w:after="112"/>
      </w:pPr>
      <w:r>
        <w:t xml:space="preserve">2. Попросите отметить ровно один вариант рядом с каждым из пяти пунктов; шкала кодируется от 5 («все время») до 0 («никогда»).</w:t>
      </w:r>
    </w:p>
    <w:p>
      <w:pPr>
        <w:pStyle w:val="Normal"/>
        <w:spacing w:after="112"/>
      </w:pPr>
      <w:r>
        <w:t xml:space="preserve">3. Ведущий не предлагает ответы и не интерпретирует вопросы вместо ребенка; при затруднениях помогает технически разобраться с инструкцией.</w:t>
      </w:r>
    </w:p>
    <w:p>
      <w:pPr>
        <w:pStyle w:val="Normal"/>
        <w:spacing w:after="112"/>
      </w:pPr>
      <w:r>
        <w:t xml:space="preserve">4. Проверьте наличие всех пяти ответов. Пропуск означает, что полная сумма и индекс WHO-5 пока не рассчитываются. Не подставляйте ноль.</w:t>
      </w:r>
    </w:p>
    <w:p>
      <w:pPr>
        <w:pStyle w:val="Normal"/>
        <w:spacing w:after="112"/>
      </w:pPr>
      <w:r>
        <w:t xml:space="preserve">5. Перенесите ответы в Психотеку по порядку и сохраните протокол, если это необходимо. Для групповой работы используйте условные коды участников.</w:t>
      </w:r>
    </w:p>
    <w:p>
      <w:pPr>
        <w:pStyle w:val="Normal"/>
        <w:spacing w:after="112"/>
      </w:pPr>
      <w:r>
        <w:t xml:space="preserve">Инструкция участнику: «Прочитай пять утверждений о самочувствии за последние две недели. Выбери для каждого одно число от нуля до пяти, которое точнее отражает твои ощущения. Отвечай самостоятельно; правильных и неправильных ответов здесь нет».</w:t>
      </w:r>
    </w:p>
    <w:p>
      <w:pPr>
        <w:pStyle w:val="Heading1"/>
        <w:spacing w:after="215"/>
        <w:keepNext/>
      </w:pPr>
      <w:r>
        <w:t xml:space="preserve">05. Ключ, шкала и формула</w:t>
      </w:r>
    </w:p>
    <w:p>
      <w:pPr>
        <w:pStyle w:val="Normal"/>
        <w:spacing w:after="112"/>
      </w:pPr>
      <w:r>
        <w:t xml:space="preserve">ВОЗ-5 содержит пять прямых пунктов, обратного кодирования нет. Каждое значение должно быть целым числом 0, 1, 2, 3, 4 или 5.</w:t>
      </w:r>
    </w:p>
    <w:tbl>
      <w:tblPr>
        <w:tblW w:w="0" w:type="auto"/>
        <w:tblBorders>
          <w:top w:val="single" w:color="A5BCA9"/>
          <w:left w:val="single" w:color="A5BCA9"/>
        </w:tblBorders>
      </w:tblPr>
      <w:tblGrid>
        <w:gridCol w:w="1700"/>
        <w:gridCol w:w="6900"/>
      </w:tblGrid>
      <w:tr>
        <w:tc>
          <w:tcPr>
            <w:tcW w:w="1700" w:type="dxa"/>
            <w:tcBorders>
              <w:bottom w:val="single" w:color="A5BCA9"/>
              <w:right w:val="single" w:color="A5BCA9"/>
            </w:tcBorders>
          </w:tcPr>
          <w:p>
            <w:pPr>
              <w:pStyle w:val="Normal"/>
              <w:spacing w:after="112"/>
            </w:pPr>
            <w:r>
              <w:t xml:space="preserve">Ответ</w:t>
            </w:r>
          </w:p>
        </w:tc>
        <w:tc>
          <w:tcPr>
            <w:tcW w:w="6900" w:type="dxa"/>
            <w:tcBorders>
              <w:bottom w:val="single" w:color="A5BCA9"/>
              <w:right w:val="single" w:color="A5BCA9"/>
            </w:tcBorders>
          </w:tcPr>
          <w:p>
            <w:pPr>
              <w:pStyle w:val="Normal"/>
              <w:spacing w:after="112"/>
            </w:pPr>
            <w:r>
              <w:t xml:space="preserve">Частота за последние две недели</w:t>
            </w:r>
          </w:p>
        </w:tc>
      </w:tr>
      <w:tr>
        <w:tc>
          <w:tcPr>
            <w:tcW w:w="1700" w:type="dxa"/>
            <w:tcBorders>
              <w:bottom w:val="single" w:color="A5BCA9"/>
              <w:right w:val="single" w:color="A5BCA9"/>
            </w:tcBorders>
          </w:tcPr>
          <w:p>
            <w:pPr>
              <w:pStyle w:val="Normal"/>
              <w:spacing w:after="112"/>
            </w:pPr>
            <w:r>
              <w:t xml:space="preserve">5</w:t>
            </w:r>
          </w:p>
        </w:tc>
        <w:tc>
          <w:tcPr>
            <w:tcW w:w="6900" w:type="dxa"/>
            <w:tcBorders>
              <w:bottom w:val="single" w:color="A5BCA9"/>
              <w:right w:val="single" w:color="A5BCA9"/>
            </w:tcBorders>
          </w:tcPr>
          <w:p>
            <w:pPr>
              <w:pStyle w:val="Normal"/>
              <w:spacing w:after="112"/>
            </w:pPr>
            <w:r>
              <w:t xml:space="preserve">Все время</w:t>
            </w:r>
          </w:p>
        </w:tc>
      </w:tr>
      <w:tr>
        <w:tc>
          <w:tcPr>
            <w:tcW w:w="1700" w:type="dxa"/>
            <w:tcBorders>
              <w:bottom w:val="single" w:color="A5BCA9"/>
              <w:right w:val="single" w:color="A5BCA9"/>
            </w:tcBorders>
          </w:tcPr>
          <w:p>
            <w:pPr>
              <w:pStyle w:val="Normal"/>
              <w:spacing w:after="112"/>
            </w:pPr>
            <w:r>
              <w:t xml:space="preserve">4</w:t>
            </w:r>
          </w:p>
        </w:tc>
        <w:tc>
          <w:tcPr>
            <w:tcW w:w="6900" w:type="dxa"/>
            <w:tcBorders>
              <w:bottom w:val="single" w:color="A5BCA9"/>
              <w:right w:val="single" w:color="A5BCA9"/>
            </w:tcBorders>
          </w:tcPr>
          <w:p>
            <w:pPr>
              <w:pStyle w:val="Normal"/>
              <w:spacing w:after="112"/>
            </w:pPr>
            <w:r>
              <w:t xml:space="preserve">Большую часть времени</w:t>
            </w:r>
          </w:p>
        </w:tc>
      </w:tr>
      <w:tr>
        <w:tc>
          <w:tcPr>
            <w:tcW w:w="1700" w:type="dxa"/>
            <w:tcBorders>
              <w:bottom w:val="single" w:color="A5BCA9"/>
              <w:right w:val="single" w:color="A5BCA9"/>
            </w:tcBorders>
          </w:tcPr>
          <w:p>
            <w:pPr>
              <w:pStyle w:val="Normal"/>
              <w:spacing w:after="112"/>
            </w:pPr>
            <w:r>
              <w:t xml:space="preserve">3</w:t>
            </w:r>
          </w:p>
        </w:tc>
        <w:tc>
          <w:tcPr>
            <w:tcW w:w="6900" w:type="dxa"/>
            <w:tcBorders>
              <w:bottom w:val="single" w:color="A5BCA9"/>
              <w:right w:val="single" w:color="A5BCA9"/>
            </w:tcBorders>
          </w:tcPr>
          <w:p>
            <w:pPr>
              <w:pStyle w:val="Normal"/>
              <w:spacing w:after="112"/>
            </w:pPr>
            <w:r>
              <w:t xml:space="preserve">Более половины времени</w:t>
            </w:r>
          </w:p>
        </w:tc>
      </w:tr>
      <w:tr>
        <w:tc>
          <w:tcPr>
            <w:tcW w:w="1700" w:type="dxa"/>
            <w:tcBorders>
              <w:bottom w:val="single" w:color="A5BCA9"/>
              <w:right w:val="single" w:color="A5BCA9"/>
            </w:tcBorders>
          </w:tcPr>
          <w:p>
            <w:pPr>
              <w:pStyle w:val="Normal"/>
              <w:spacing w:after="112"/>
            </w:pPr>
            <w:r>
              <w:t xml:space="preserve">2</w:t>
            </w:r>
          </w:p>
        </w:tc>
        <w:tc>
          <w:tcPr>
            <w:tcW w:w="6900" w:type="dxa"/>
            <w:tcBorders>
              <w:bottom w:val="single" w:color="A5BCA9"/>
              <w:right w:val="single" w:color="A5BCA9"/>
            </w:tcBorders>
          </w:tcPr>
          <w:p>
            <w:pPr>
              <w:pStyle w:val="Normal"/>
              <w:spacing w:after="112"/>
            </w:pPr>
            <w:r>
              <w:t xml:space="preserve">Менее половины времени</w:t>
            </w:r>
          </w:p>
        </w:tc>
      </w:tr>
      <w:tr>
        <w:tc>
          <w:tcPr>
            <w:tcW w:w="1700" w:type="dxa"/>
            <w:tcBorders>
              <w:bottom w:val="single" w:color="A5BCA9"/>
              <w:right w:val="single" w:color="A5BCA9"/>
            </w:tcBorders>
          </w:tcPr>
          <w:p>
            <w:pPr>
              <w:pStyle w:val="Normal"/>
              <w:spacing w:after="112"/>
            </w:pPr>
            <w:r>
              <w:t xml:space="preserve">1</w:t>
            </w:r>
          </w:p>
        </w:tc>
        <w:tc>
          <w:tcPr>
            <w:tcW w:w="6900" w:type="dxa"/>
            <w:tcBorders>
              <w:bottom w:val="single" w:color="A5BCA9"/>
              <w:right w:val="single" w:color="A5BCA9"/>
            </w:tcBorders>
          </w:tcPr>
          <w:p>
            <w:pPr>
              <w:pStyle w:val="Normal"/>
              <w:spacing w:after="112"/>
            </w:pPr>
            <w:r>
              <w:t xml:space="preserve">Некоторое время</w:t>
            </w:r>
          </w:p>
        </w:tc>
      </w:tr>
      <w:tr>
        <w:tc>
          <w:tcPr>
            <w:tcW w:w="1700" w:type="dxa"/>
            <w:tcBorders>
              <w:bottom w:val="single" w:color="A5BCA9"/>
              <w:right w:val="single" w:color="A5BCA9"/>
            </w:tcBorders>
          </w:tcPr>
          <w:p>
            <w:pPr>
              <w:pStyle w:val="Normal"/>
              <w:spacing w:after="112"/>
            </w:pPr>
            <w:r>
              <w:t xml:space="preserve">0</w:t>
            </w:r>
          </w:p>
        </w:tc>
        <w:tc>
          <w:tcPr>
            <w:tcW w:w="6900" w:type="dxa"/>
            <w:tcBorders>
              <w:bottom w:val="single" w:color="A5BCA9"/>
              <w:right w:val="single" w:color="A5BCA9"/>
            </w:tcBorders>
          </w:tcPr>
          <w:p>
            <w:pPr>
              <w:pStyle w:val="Normal"/>
              <w:spacing w:after="112"/>
            </w:pPr>
            <w:r>
              <w:t xml:space="preserve">Никогда</w:t>
            </w:r>
          </w:p>
        </w:tc>
      </w:tr>
    </w:tbl>
    <w:p>
      <w:pPr>
        <w:pStyle w:val="Normal"/>
        <w:spacing w:after="112"/>
      </w:pPr>
      <w:r>
        <w:t xml:space="preserve">Сырой балл WHO-5 = пункт 1 + пункт 2 + пункт 3 + пункт 4 + пункт 5. Минимум 0, максимум 25.</w:t>
      </w:r>
    </w:p>
    <w:p>
      <w:pPr>
        <w:pStyle w:val="Normal"/>
        <w:spacing w:after="112"/>
      </w:pPr>
      <w:r>
        <w:t xml:space="preserve">Индекс WHO-5 от 0 до 100 = сырой балл × 4. Чем выше значение, тем выше субъективное положительное благополучие за последние две недели.</w:t>
      </w:r>
    </w:p>
    <w:p>
      <w:pPr>
        <w:pStyle w:val="Normal"/>
        <w:spacing w:after="112"/>
      </w:pPr>
      <w:r>
        <w:t xml:space="preserve">Балл 0 не означает «пропуск»: это полноценный вариант ответа «никогда». Пустое значение — пропуск, при котором полный итог не вычисляют.</w:t>
      </w:r>
    </w:p>
    <w:p>
      <w:pPr>
        <w:pStyle w:val="Heading1"/>
        <w:spacing w:after="215"/>
        <w:keepNext/>
      </w:pPr>
      <w:r>
        <w:t xml:space="preserve">06. Контрольные примеры для подсчета</w:t>
      </w:r>
    </w:p>
    <w:p>
      <w:pPr>
        <w:pStyle w:val="Normal"/>
        <w:spacing w:after="112"/>
      </w:pPr>
      <w:r>
        <w:t xml:space="preserve">Ответы [0, 0, 0, 0, 0]: сырой балл 0/25, индекс 0/100.</w:t>
      </w:r>
    </w:p>
    <w:p>
      <w:pPr>
        <w:pStyle w:val="Normal"/>
        <w:spacing w:after="112"/>
      </w:pPr>
      <w:r>
        <w:t xml:space="preserve">Ответы [5, 5, 5, 5, 5]: сырой балл 25/25, индекс 100/100.</w:t>
      </w:r>
    </w:p>
    <w:p>
      <w:pPr>
        <w:pStyle w:val="Normal"/>
        <w:spacing w:after="112"/>
      </w:pPr>
      <w:r>
        <w:t xml:space="preserve">Ответы [3, 4, 2, 1, 5]: сырой балл 15/25, индекс 60/100.</w:t>
      </w:r>
    </w:p>
    <w:p>
      <w:pPr>
        <w:pStyle w:val="Normal"/>
        <w:spacing w:after="112"/>
      </w:pPr>
      <w:r>
        <w:t xml:space="preserve">Ответы [1, 1, 1, 1, 1]: сырой балл 5/25, индекс 20/100.</w:t>
      </w:r>
    </w:p>
    <w:p>
      <w:pPr>
        <w:pStyle w:val="Normal"/>
        <w:spacing w:after="112"/>
      </w:pPr>
      <w:r>
        <w:t xml:space="preserve">Ответы [3, 4, 2, пропуск, 5]: полный балл не рассчитывается. Не заменять пустой ответ на ноль.</w:t>
      </w:r>
    </w:p>
    <w:p>
      <w:pPr>
        <w:pStyle w:val="Heading1"/>
        <w:spacing w:after="215"/>
        <w:keepNext/>
      </w:pPr>
      <w:r>
        <w:t xml:space="preserve">07. Интерпретация</w:t>
      </w:r>
    </w:p>
    <w:p>
      <w:pPr>
        <w:pStyle w:val="Normal"/>
        <w:spacing w:after="112"/>
      </w:pPr>
      <w:r>
        <w:t xml:space="preserve">WHO-5 измеряет положительные переживания, поэтому низкие показатели указывают на субъективно менее благополучное самочувствие, а не на конкретную психопатологию. Это повод для контекстного уточнения и, при необходимости, бережной беседы.</w:t>
      </w:r>
    </w:p>
    <w:p>
      <w:pPr>
        <w:pStyle w:val="Normal"/>
        <w:spacing w:after="112"/>
      </w:pPr>
      <w:r>
        <w:t xml:space="preserve">Исследования иногда используют ориентиры около 50 по шкале 0–100, но они варьируют между популяциями и задачами. В комплекте Психотеки эти пороги сознательно не используются для автоматической диагностики и маркировки школьников.</w:t>
      </w:r>
    </w:p>
    <w:p>
      <w:pPr>
        <w:pStyle w:val="Normal"/>
        <w:spacing w:after="112"/>
      </w:pPr>
      <w:r>
        <w:t xml:space="preserve">Результат зависит от понимания формулировок, возраста, языка, событий последних двух недель, добровольности участия. Для младших детей важна отдельно проверенная возрастная валидность.</w:t>
      </w:r>
    </w:p>
    <w:p>
      <w:pPr>
        <w:pStyle w:val="Normal"/>
        <w:spacing w:after="112"/>
      </w:pPr>
      <w:r>
        <w:t xml:space="preserve">При повторных измерениях сравнивайте результаты только при сопоставимых условиях, одинаковой языковой версии и одном способе предъявления. Не делайте выводов о причинах изменений из одной числовой разницы.</w:t>
      </w:r>
    </w:p>
    <w:p>
      <w:pPr>
        <w:pStyle w:val="Heading1"/>
        <w:spacing w:after="215"/>
        <w:keepNext/>
      </w:pPr>
      <w:r>
        <w:t xml:space="preserve">08. Обработка данных в Психотеке</w:t>
      </w:r>
    </w:p>
    <w:p>
      <w:pPr>
        <w:pStyle w:val="Normal"/>
        <w:spacing w:after="112"/>
      </w:pPr>
      <w:r>
        <w:t xml:space="preserve">Откройте «Диагностика» → «Индекс хорошего самочувствия WHO-5». Во вкладке «Обработка» выберите «Один ученик» либо «Класс / группа». Введите условный код и поочередно перенесите пять значений 0–5.</w:t>
      </w:r>
    </w:p>
    <w:p>
      <w:pPr>
        <w:pStyle w:val="Normal"/>
        <w:spacing w:after="112"/>
      </w:pPr>
      <w:r>
        <w:t xml:space="preserve">Для полностью заполненной формы интерфейс покажет сырую сумму 0–25, индекс 0–100 и шкалу прогресса. Если имеются пропуски, вместо ошибочного индекса будет указано количество заполненных пунктов.</w:t>
      </w:r>
    </w:p>
    <w:p>
      <w:pPr>
        <w:pStyle w:val="Normal"/>
        <w:spacing w:after="112"/>
      </w:pPr>
      <w:r>
        <w:t xml:space="preserve">В режиме одного ученика доступен отдельный HTML-протокол для сохранения и печати. В режиме класса — таблица всех кодов, сырых сумм и индексов, а также CSV для Excel с ответами по каждому пункту.</w:t>
      </w:r>
    </w:p>
    <w:p>
      <w:pPr>
        <w:pStyle w:val="Normal"/>
        <w:spacing w:after="112"/>
      </w:pPr>
      <w:r>
        <w:t xml:space="preserve">Не записывайте ФИО в открытый демонстрационный сайт. Данные, введенные в интерфейсе, не отправляются для подсчета на сервер. После скачивания результатов пользователь отвечает за конфиденциальность локальных файлов.</w:t>
      </w:r>
    </w:p>
    <w:p>
      <w:pPr>
        <w:pStyle w:val="Heading1"/>
        <w:spacing w:after="215"/>
        <w:keepNext/>
      </w:pPr>
      <w:r>
        <w:t xml:space="preserve">09. Рабочий индивидуальный протокол</w:t>
      </w:r>
    </w:p>
    <w:p>
      <w:pPr>
        <w:pStyle w:val="Normal"/>
        <w:spacing w:after="112"/>
      </w:pPr>
      <w:r>
        <w:t xml:space="preserve">Код: __________________  Класс/возраст: __________________  Дата: ______________</w:t>
      </w:r>
    </w:p>
    <w:p>
      <w:pPr>
        <w:pStyle w:val="Normal"/>
        <w:spacing w:after="112"/>
      </w:pPr>
      <w:r>
        <w:t xml:space="preserve">Проверенная русская форма / язык: ____________________________  Полнота: _____ / 5.</w:t>
      </w:r>
    </w:p>
    <w:p>
      <w:pPr>
        <w:pStyle w:val="Normal"/>
        <w:spacing w:after="112"/>
      </w:pPr>
      <w:r>
        <w:t xml:space="preserve">Пункт 1: ____   Пункт 2: ____   Пункт 3: ____   Пункт 4: ____   Пункт 5: ____.</w:t>
      </w:r>
    </w:p>
    <w:p>
      <w:pPr>
        <w:pStyle w:val="Normal"/>
        <w:spacing w:after="112"/>
      </w:pPr>
      <w:r>
        <w:t xml:space="preserve">Сырой балл: _____ / 25. Индекс WHO-5: _____ / 100.</w:t>
      </w:r>
    </w:p>
    <w:p>
      <w:pPr>
        <w:pStyle w:val="Normal"/>
        <w:spacing w:after="112"/>
      </w:pPr>
      <w:r>
        <w:t xml:space="preserve">Условия, наблюдения и возможные факторы самочувствия: ______________________________________</w:t>
      </w:r>
    </w:p>
    <w:p>
      <w:pPr>
        <w:pStyle w:val="Normal"/>
        <w:spacing w:after="112"/>
      </w:pPr>
      <w:r>
        <w:t xml:space="preserve">Заметки для обратной связи и дальнейшего профессионального рассмотрения: ____________________</w:t>
      </w:r>
    </w:p>
    <w:p>
      <w:pPr>
        <w:pStyle w:val="Heading1"/>
        <w:spacing w:after="215"/>
        <w:keepNext/>
      </w:pPr>
      <w:r>
        <w:t xml:space="preserve">10. Источники и лицензия</w:t>
      </w:r>
    </w:p>
    <w:p>
      <w:pPr>
        <w:pStyle w:val="Normal"/>
        <w:spacing w:after="112"/>
      </w:pPr>
      <w:r>
        <w:t xml:space="preserve">World Health Organization. The World Health Organization-Five Well-Being Index (WHO-5). Geneva: WHO, 2024. Publication WHO-UCN-MSD-MHE-2024.01. License: CC BY-NC-SA 3.0 IGO.</w:t>
      </w:r>
    </w:p>
    <w:p>
      <w:pPr>
        <w:pStyle w:val="Normal"/>
        <w:spacing w:after="112"/>
      </w:pPr>
      <w:r>
        <w:t xml:space="preserve">https://www.who.int/ru/publications/m/item/WHO-UCN-MSD-MHE-2024.01</w:t>
      </w:r>
    </w:p>
    <w:p>
      <w:pPr>
        <w:pStyle w:val="Normal"/>
        <w:spacing w:after="112"/>
      </w:pPr>
      <w:r>
        <w:t xml:space="preserve">Официальный русский перевод (вариант 1999 г.), распространяемый ВОЗ с оговоркой об ответственности за точность:</w:t>
      </w:r>
    </w:p>
    <w:p>
      <w:pPr>
        <w:pStyle w:val="Normal"/>
        <w:spacing w:after="112"/>
      </w:pPr>
      <w:r>
        <w:t xml:space="preserve">https://cdn.who.int/media/docs/default-source/mental-health/who-5_russian.pdf?sfvrsn=ed43f352_11</w:t>
      </w:r>
    </w:p>
    <w:p>
      <w:pPr>
        <w:pStyle w:val="Normal"/>
        <w:spacing w:after="112"/>
      </w:pPr>
      <w:r>
        <w:t xml:space="preserve">OECD. How to Make Societies Thrive? (2023), WHO-5: вопросы, значения и формула 0–25 × 4.</w:t>
      </w:r>
    </w:p>
    <w:p>
      <w:pPr>
        <w:pStyle w:val="Normal"/>
        <w:spacing w:after="112"/>
      </w:pPr>
      <w:r>
        <w:t xml:space="preserve">https://www.oecd.org/en/publications/how-to-make-societies-thrive-coordinating-approaches-to-promote-well-being-and-mental-health_fc6b9844-en/full-report/component-2.html</w:t>
      </w:r>
    </w:p>
    <w:p>
      <w:pPr>
        <w:pStyle w:val="Normal"/>
        <w:spacing w:after="112"/>
      </w:pPr>
      <w:r>
        <w:t xml:space="preserve">Sischka P. E. et al. Cross-National Validation of the WHO-5 Well-Being Index Within Adolescent Populations: Findings From 43 Countries. Assessment. 2026;33(1):3–26. Указывает на возможность исследования подростковой популяции, но не устанавливает отдельные русскоязычные нормы.</w:t>
      </w:r>
    </w:p>
    <w:p>
      <w:pPr>
        <w:pStyle w:val="Normal"/>
        <w:spacing w:after="112"/>
      </w:pPr>
      <w:r>
        <w:t xml:space="preserve">https://pubmed.ncbi.nlm.nih.gov/39884717/</w:t>
      </w:r>
    </w:p>
    <w:p>
      <w:pPr>
        <w:pStyle w:val="Normal"/>
        <w:spacing w:after="112"/>
      </w:pPr>
      <w:r>
        <w:t xml:space="preserve">Этот материал не подразумевает одобрения Психотеки Всемирной организацией здравоохранения. Самостоятельная версия регистрационного листа и пояснения подготовлены для некоммерческой образовательной работы.</w:t>
      </w:r>
    </w:p>
    <w:sectPr>
      <w:pgSz w:w="11906" w:h="16838"/>
      <w:pgMar w:top="1120" w:bottom="1120" w:left="1240" w:right="124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1"/>
      </w:rPr>
    </w:rPrDefault>
  </w:docDefaults>
  <w:style w:type="paragraph" w:styleId="Normal" w:default="1">
    <w:name w:val="Normal"/>
  </w:style>
  <w:style w:type="paragraph" w:styleId="Title">
    <w:name w:val="Title"/>
    <w:basedOn w:val="Normal"/>
    <w:rPr>
      <w:b/>
      <w:color w:val="286044"/>
      <w:sz w:val="36"/>
    </w:rPr>
  </w:style>
  <w:style w:type="paragraph" w:styleId="Subtitle">
    <w:name w:val="Subtitle"/>
    <w:basedOn w:val="Normal"/>
    <w:rPr>
      <w:color w:val="5B7968"/>
      <w:sz w:val="24"/>
    </w:rPr>
  </w:style>
  <w:style w:type="paragraph" w:styleId="Heading1">
    <w:name w:val="Heading 1"/>
    <w:basedOn w:val="Normal"/>
    <w:rPr>
      <w:b/>
      <w:color w:val="286044"/>
      <w:sz w:val="26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/Relationships>
</file>