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10"/>
        <w:keepTogether/>
      </w:pPr>
      <w:r>
        <w:rPr>
          <w:rFonts w:ascii="Arial" w:hAnsi="Arial" w:eastAsia="Arial" w:cs="Arial"/>
          <w:sz w:val="28"/>
          <w:b/>
        </w:rPr>
        <w:t xml:space="preserve">МОИ СОЦИАЛЬНО-ЭМОЦИОНАЛЬНЫЕ НАВЫКИ</w:t>
      </w:r>
    </w:p>
    <w:p>
      <w:pPr>
        <w:spacing w:after="120"/>
        <w:keepTogether/>
      </w:pPr>
      <w:r>
        <w:rPr>
          <w:rFonts w:ascii="Arial" w:hAnsi="Arial" w:eastAsia="Arial" w:cs="Arial"/>
          <w:sz w:val="19"/>
        </w:rPr>
        <w:t xml:space="preserve">Ученический бланк | авторская рабочая форма Психотеки | 20 утверждений</w:t>
      </w:r>
    </w:p>
    <w:p>
      <w:pPr>
        <w:spacing w:after="110"/>
        <w:keepTogether/>
      </w:pPr>
      <w:r>
        <w:rPr>
          <w:rFonts w:ascii="Arial" w:hAnsi="Arial" w:eastAsia="Arial" w:cs="Arial"/>
          <w:sz w:val="19"/>
        </w:rPr>
        <w:t xml:space="preserve">Код: _____________________   Класс / возраст: __________   Дата: __________</w:t>
      </w:r>
    </w:p>
    <w:p>
      <w:pPr>
        <w:spacing w:after="120"/>
        <w:keepTogether/>
      </w:pPr>
      <w:r>
        <w:rPr>
          <w:rFonts w:ascii="Arial" w:hAnsi="Arial" w:eastAsia="Arial" w:cs="Arial"/>
          <w:sz w:val="18"/>
        </w:rPr>
        <w:t xml:space="preserve">Подумай о последних двух неделях. Отметь одну клетку напротив каждого утверждения. Правильных и неправильных ответов нет. Ты можешь пропустить вопрос или отказаться отвечать.</w:t>
      </w:r>
    </w:p>
    <w:p>
      <w:pPr>
        <w:spacing w:after="100"/>
        <w:keepTogether/>
      </w:pPr>
      <w:r>
        <w:rPr>
          <w:rFonts w:ascii="Arial" w:hAnsi="Arial" w:eastAsia="Arial" w:cs="Arial"/>
          <w:sz w:val="19"/>
          <w:b/>
        </w:rPr>
        <w:t xml:space="preserve">0 - никогда    1 - редко    2 - часто    3 - почти всегда</w:t>
      </w:r>
    </w:p>
    <w:tbl>
      <w:tblPr>
        <w:tblW w:w="10490" w:type="dxa"/>
        <w:tblLayout w:type="fixed"/>
        <w:tblBorders>
          <w:top w:val="single" w:sz="4" w:color="BBCDBD"/>
          <w:left w:val="single" w:sz="4" w:color="BBCDBD"/>
          <w:bottom w:val="single" w:sz="4" w:color="BBCDBD"/>
          <w:right w:val="single" w:sz="4" w:color="BBCDBD"/>
          <w:insideH w:val="single" w:sz="4" w:color="BBCDBD"/>
          <w:insideV w:val="single" w:sz="4" w:color="BBCDBD"/>
        </w:tblBorders>
      </w:tblPr>
      <w:tblGrid>
        <w:gridCol w:w="480"/>
        <w:gridCol w:w="7730"/>
        <w:gridCol w:w="570"/>
        <w:gridCol w:w="570"/>
        <w:gridCol w:w="570"/>
        <w:gridCol w:w="570"/>
      </w:tblGrid>
      <w:tr>
        <w:trPr>
          <w:tblHeader w:val="true"/>
        </w:trPr>
        <w:tc>
          <w:tcPr>
            <w:tcW w:w="48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  <w:b/>
              </w:rPr>
              <w:t xml:space="preserve">№</w:t>
            </w:r>
          </w:p>
        </w:tc>
        <w:tc>
          <w:tcPr>
            <w:tcW w:w="773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  <w:b/>
              </w:rPr>
              <w:t xml:space="preserve">Утверждение</w:t>
            </w:r>
          </w:p>
        </w:tc>
        <w:tc>
          <w:tcPr>
            <w:tcW w:w="57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  <w:b/>
              </w:rPr>
              <w:t xml:space="preserve">0</w:t>
            </w:r>
          </w:p>
        </w:tc>
        <w:tc>
          <w:tcPr>
            <w:tcW w:w="57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  <w:b/>
              </w:rPr>
              <w:t xml:space="preserve">1</w:t>
            </w:r>
          </w:p>
        </w:tc>
        <w:tc>
          <w:tcPr>
            <w:tcW w:w="57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  <w:b/>
              </w:rPr>
              <w:t xml:space="preserve">2</w:t>
            </w:r>
          </w:p>
        </w:tc>
        <w:tc>
          <w:tcPr>
            <w:tcW w:w="570" w:type="dxa"/>
            <w:shd w:fill="E6EEE8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  <w:b/>
              </w:rPr>
              <w:t xml:space="preserve">3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Я замечаю, когда у меня меняется настроение.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2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Когда я злюсь, мне удается остановиться, прежде чем что-то сказать или сделать.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3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Я замечаю, когда человеку рядом со мной неловко или грустно.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4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Я могу спокойно объяснить другому человеку, что мне нужно.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5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Перед сложным выбором я думаю о возможных последствиях.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6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Обычно я понимаю, что именно меня расстроило.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7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Если задание не получается, я пробую успокоиться и продолжить.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8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Я стараюсь понять чужую точку зрения, даже если не согласен с ней.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9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Во время совместной работы я могу договариваться о том, кто что делает.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10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Я учитываю, может ли мой поступок задеть других людей.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11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Я могу назвать свои сильные стороны.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12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Когда переживания мешают мне учиться, я могу попросить о помощи.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13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Если кто-то выглядит расстроенным, я могу спросить, нужна ли помощь.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14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Я могу выслушать человека до конца, не перебивая.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15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Во время спора я стараюсь найти безопасное и уважительное решение.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16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Я понимаю, как мои чувства влияют на мои поступки.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17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После неудачи я могу придумать маленький следующий шаг.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18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Я стараюсь учитывать чувства людей, чей опыт отличается от моего.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19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Если я не согласен с другим человеком, могу сказать об этом уважительно.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  <w:tr>
        <w:tc>
          <w:tcPr>
            <w:tcW w:w="48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20</w:t>
            </w:r>
          </w:p>
        </w:tc>
        <w:tc>
          <w:tcPr>
            <w:tcW w:w="773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При решении проблемы я стараюсь рассмотреть больше одного варианта.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  <w:tc>
          <w:tcPr>
            <w:tcW w:w="570" w:type="dxa"/>
            <w:vAlign w:val="center"/>
          </w:tcPr>
          <w:p>
            <w:pPr>
              <w:spacing w:after="35"/>
              <w:keepTogether/>
            </w:pPr>
            <w:r>
              <w:rPr>
                <w:rFonts w:ascii="Arial" w:hAnsi="Arial" w:eastAsia="Arial" w:cs="Arial"/>
                <w:sz w:val="17"/>
              </w:rPr>
              <w:t xml:space="preserve">□</w:t>
            </w:r>
          </w:p>
        </w:tc>
      </w:tr>
    </w:tbl>
    <w:p>
      <w:pPr>
        <w:spacing w:after="90"/>
        <w:keepTogether/>
      </w:pPr>
      <w:r>
        <w:rPr>
          <w:rFonts w:ascii="Arial" w:hAnsi="Arial" w:eastAsia="Arial" w:cs="Arial"/>
          <w:sz w:val="17"/>
        </w:rPr>
        <w:t xml:space="preserve">Этот опросник помогает разговору со школьным психологом. Он не является отметкой, диагнозом или характеристикой личности.</w:t>
      </w:r>
    </w:p>
    <w:p>
      <w:pPr>
        <w:spacing w:after="80"/>
        <w:keepTogether/>
      </w:pPr>
      <w:r>
        <w:rPr>
          <w:rFonts w:ascii="Arial" w:hAnsi="Arial" w:eastAsia="Arial" w:cs="Arial"/>
          <w:sz w:val="15"/>
        </w:rPr>
        <w:t xml:space="preserve">Пометка специалисту: рабочая, невалидизированная форма по пяти направлениям CASEL. Не используйте возрастные нормы или диагностические пороги.</w:t>
      </w:r>
    </w:p>
    <w:sectPr>
      <w:pgSz w:w="11906" w:h="16838"/>
      <w:pgMar w:top="750" w:right="790" w:bottom="750" w:left="790" w:header="360" w:footer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Arial" w:cs="Arial"/>
      <w:sz w:val="20"/>
    </w:rPr>
  </w:style>
  <w:style w:type="paragraph" w:styleId="Heading1">
    <w:name w:val="heading 1"/>
    <w:pPr>
      <w:keepNext/>
      <w:spacing w:before="0" w:after="160"/>
    </w:pPr>
    <w:rPr>
      <w:rFonts w:ascii="Arial" w:hAnsi="Arial" w:eastAsia="Arial" w:cs="Arial"/>
      <w:b/>
      <w:color w:val="236149"/>
      <w:sz w:val="30"/>
    </w:rPr>
  </w:style>
  <w:style w:type="paragraph" w:styleId="Heading2">
    <w:name w:val="heading 2"/>
    <w:pPr>
      <w:keepNext/>
      <w:spacing w:before="150" w:after="90"/>
    </w:pPr>
    <w:rPr>
      <w:rFonts w:ascii="Arial" w:hAnsi="Arial" w:eastAsia="Arial" w:cs="Arial"/>
      <w:b/>
      <w:color w:val="315F4A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