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70"/>
        <w:keepTogether/>
      </w:pPr>
      <w:r>
        <w:rPr>
          <w:rFonts w:ascii="Arial" w:hAnsi="Arial" w:eastAsia="Arial" w:cs="Arial"/>
          <w:sz w:val="30"/>
          <w:b/>
        </w:rPr>
        <w:t xml:space="preserve">ОПРОСНИК СОЦИАЛЬНО-ЭМОЦИОНАЛЬНЫХ НАВЫКОВ</w:t>
      </w:r>
    </w:p>
    <w:p>
      <w:pPr>
        <w:spacing w:after="125"/>
        <w:keepTogether/>
      </w:pPr>
      <w:r>
        <w:rPr>
          <w:rFonts w:ascii="Arial" w:hAnsi="Arial" w:eastAsia="Arial" w:cs="Arial"/>
          <w:sz w:val="20"/>
          <w:b/>
        </w:rPr>
        <w:t xml:space="preserve">Методика и ключ для педагога-психолога | версия SEL-WORK-20-2026-v1</w:t>
      </w:r>
    </w:p>
    <w:p>
      <w:pPr>
        <w:spacing w:after="160"/>
        <w:keepTogether/>
      </w:pPr>
      <w:r>
        <w:rPr>
          <w:rFonts w:ascii="Arial" w:hAnsi="Arial" w:eastAsia="Arial" w:cs="Arial"/>
          <w:sz w:val="19"/>
          <w:b/>
        </w:rPr>
        <w:t xml:space="preserve">ВНИМАНИЕ. Это оригинальная рабочая форма Психотеки, а не официальная анкета CASEL и не стандартизированный психодиагностический тест. Возрастных норм, надежности и валидности этой версии нет. Никаких диагностических порогов и категорий риска.</w:t>
      </w:r>
    </w:p>
    <w:p>
      <w:pPr>
        <w:pStyle w:val="Heading2"/>
        <w:spacing w:after="90"/>
        <w:keepTogether/>
      </w:pPr>
      <w:r>
        <w:rPr>
          <w:rFonts w:ascii="Arial" w:hAnsi="Arial" w:eastAsia="Arial" w:cs="Arial"/>
          <w:sz w:val="23"/>
          <w:b/>
        </w:rPr>
        <w:t xml:space="preserve">Назначение и статус</w:t>
      </w:r>
    </w:p>
    <w:p>
      <w:pPr>
        <w:spacing w:after="120"/>
        <w:keepTogether/>
      </w:pPr>
      <w:r>
        <w:rPr>
          <w:rFonts w:ascii="Arial" w:hAnsi="Arial" w:eastAsia="Arial" w:cs="Arial"/>
          <w:sz w:val="20"/>
        </w:rPr>
        <w:t xml:space="preserve">20 авторских самоотчетных утверждений для ориентировочно 10-17 лет при понимании текста. Основа структуры - пять направлений социально-эмоциональных компетенций CASEL; формулировки Психотеки оригинальны. Инструмент предназначен для беседы и планирования поддержки, а не диагностики уровня способностей.</w:t>
      </w:r>
    </w:p>
    <w:p>
      <w:pPr>
        <w:pStyle w:val="Heading2"/>
        <w:spacing w:after="90"/>
        <w:keepTogether/>
      </w:pPr>
      <w:r>
        <w:rPr>
          <w:rFonts w:ascii="Arial" w:hAnsi="Arial" w:eastAsia="Arial" w:cs="Arial"/>
          <w:sz w:val="23"/>
          <w:b/>
        </w:rPr>
        <w:t xml:space="preserve">Материалы и условия</w:t>
      </w:r>
    </w:p>
    <w:p>
      <w:pPr>
        <w:spacing w:after="120"/>
        <w:keepTogether/>
      </w:pPr>
      <w:r>
        <w:rPr>
          <w:rFonts w:ascii="Arial" w:hAnsi="Arial" w:eastAsia="Arial" w:cs="Arial"/>
          <w:sz w:val="20"/>
        </w:rPr>
        <w:t xml:space="preserve">Бланк с 20 пунктами, ручка, регистрационный протокол психолога. Индивидуальная или групповая процедура с добровольным согласием и правом не отвечать. Ориентировочно 7-10 минут. Не использовать ФИО в публичной демоверсии.</w:t>
      </w:r>
    </w:p>
    <w:p>
      <w:pPr>
        <w:pStyle w:val="Heading2"/>
        <w:spacing w:after="90"/>
        <w:keepTogether/>
      </w:pPr>
      <w:r>
        <w:rPr>
          <w:rFonts w:ascii="Arial" w:hAnsi="Arial" w:eastAsia="Arial" w:cs="Arial"/>
          <w:sz w:val="23"/>
          <w:b/>
        </w:rPr>
        <w:t xml:space="preserve">Инструкция школьнику</w:t>
      </w:r>
    </w:p>
    <w:p>
      <w:pPr>
        <w:spacing w:after="120"/>
        <w:keepTogether/>
      </w:pPr>
      <w:r>
        <w:rPr>
          <w:rFonts w:ascii="Arial" w:hAnsi="Arial" w:eastAsia="Arial" w:cs="Arial"/>
          <w:sz w:val="20"/>
        </w:rPr>
        <w:t xml:space="preserve">Вспомни последние две недели. Прочитай каждое утверждение и отметь, как часто это обычно происходило: 0 - никогда, 1 - редко, 2 - часто, 3 - почти всегда. Здесь нет правильных или неправильных ответов. Можно пропустить вопрос или отказаться отвечать.</w:t>
      </w:r>
    </w:p>
    <w:p>
      <w:pPr>
        <w:pStyle w:val="Heading2"/>
        <w:spacing w:after="90"/>
        <w:keepTogether/>
      </w:pPr>
      <w:r>
        <w:rPr>
          <w:rFonts w:ascii="Arial" w:hAnsi="Arial" w:eastAsia="Arial" w:cs="Arial"/>
          <w:sz w:val="23"/>
          <w:b/>
        </w:rPr>
        <w:t xml:space="preserve">Правила проведения</w:t>
      </w:r>
    </w:p>
    <w:p>
      <w:pPr>
        <w:spacing w:after="130"/>
        <w:keepTogether/>
      </w:pPr>
      <w:r>
        <w:rPr>
          <w:rFonts w:ascii="Arial" w:hAnsi="Arial" w:eastAsia="Arial" w:cs="Arial"/>
          <w:sz w:val="20"/>
        </w:rPr>
        <w:t xml:space="preserve">1. Объяснить, что это не оценка и не контроль поведения. 2. Предъявить все 20 пунктов в указанном порядке. 3. Не подсказывать ответы. 4. Уточнить непонятные слова без изменения смысла. 5. Не заменять пропуски нулем. 6. Обсудить результаты через примеры и ситуации, без ярлыков.</w:t>
      </w:r>
    </w:p>
    <w:p>
      <w:pPr>
        <w:pStyle w:val="Heading2"/>
        <w:spacing w:after="90"/>
        <w:keepTogether/>
      </w:pPr>
      <w:r>
        <w:rPr>
          <w:rFonts w:ascii="Arial" w:hAnsi="Arial" w:eastAsia="Arial" w:cs="Arial"/>
          <w:sz w:val="23"/>
          <w:b/>
        </w:rPr>
        <w:t xml:space="preserve">Ключ и расчет</w:t>
      </w:r>
    </w:p>
    <w:p>
      <w:pPr>
        <w:spacing w:after="120"/>
        <w:keepTogether/>
      </w:pPr>
      <w:r>
        <w:rPr>
          <w:rFonts w:ascii="Arial" w:hAnsi="Arial" w:eastAsia="Arial" w:cs="Arial"/>
          <w:sz w:val="20"/>
        </w:rPr>
        <w:t xml:space="preserve">0, 1, 2, 3 балла. Все пункты прямые, обратных нет. Для каждого направления суммируются четыре ответа (0-12). Общая сумма: 20 ответов (0-60). Среднее: общая сумма / 20 (0-3). При любом пропуске нельзя считать полную сумму или шкалу завершенной; калькулятор Психотеки блокирует весь расчет. Ноль - допустимый полный ответ.</w:t>
      </w:r>
    </w:p>
    <w:tbl>
      <w:tblPr>
        <w:tblW w:w="10500" w:type="dxa"/>
        <w:tblLayout w:type="fixed"/>
        <w:tblBorders>
          <w:top w:val="single" w:sz="4" w:color="BBCDBD"/>
          <w:left w:val="single" w:sz="4" w:color="BBCDBD"/>
          <w:bottom w:val="single" w:sz="4" w:color="BBCDBD"/>
          <w:right w:val="single" w:sz="4" w:color="BBCDBD"/>
          <w:insideH w:val="single" w:sz="4" w:color="BBCDBD"/>
          <w:insideV w:val="single" w:sz="4" w:color="BBCDBD"/>
        </w:tblBorders>
      </w:tblPr>
      <w:tblGrid>
        <w:gridCol w:w="4600"/>
        <w:gridCol w:w="3500"/>
        <w:gridCol w:w="2400"/>
      </w:tblGrid>
      <w:tr>
        <w:trPr>
          <w:tblHeader w:val="true"/>
        </w:trPr>
        <w:tc>
          <w:tcPr>
            <w:tcW w:w="460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  <w:b/>
              </w:rPr>
              <w:t xml:space="preserve">Направление</w:t>
            </w:r>
          </w:p>
        </w:tc>
        <w:tc>
          <w:tcPr>
            <w:tcW w:w="350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  <w:b/>
              </w:rPr>
              <w:t xml:space="preserve">Пункты</w:t>
            </w:r>
          </w:p>
        </w:tc>
        <w:tc>
          <w:tcPr>
            <w:tcW w:w="240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  <w:b/>
              </w:rPr>
              <w:t xml:space="preserve">Баллы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Осознание себя</w:t>
            </w:r>
          </w:p>
        </w:tc>
        <w:tc>
          <w:tcPr>
            <w:tcW w:w="35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1, 6, 11, 16</w:t>
            </w:r>
          </w:p>
        </w:tc>
        <w:tc>
          <w:tcPr>
            <w:tcW w:w="24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0-12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Саморегуляция</w:t>
            </w:r>
          </w:p>
        </w:tc>
        <w:tc>
          <w:tcPr>
            <w:tcW w:w="35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2, 7, 12, 17</w:t>
            </w:r>
          </w:p>
        </w:tc>
        <w:tc>
          <w:tcPr>
            <w:tcW w:w="24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0-12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Социальная чуткость</w:t>
            </w:r>
          </w:p>
        </w:tc>
        <w:tc>
          <w:tcPr>
            <w:tcW w:w="35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3, 8, 13, 18</w:t>
            </w:r>
          </w:p>
        </w:tc>
        <w:tc>
          <w:tcPr>
            <w:tcW w:w="24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0-12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Навыки общения</w:t>
            </w:r>
          </w:p>
        </w:tc>
        <w:tc>
          <w:tcPr>
            <w:tcW w:w="35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4, 9, 14, 19</w:t>
            </w:r>
          </w:p>
        </w:tc>
        <w:tc>
          <w:tcPr>
            <w:tcW w:w="24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0-12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Ответственные решения</w:t>
            </w:r>
          </w:p>
        </w:tc>
        <w:tc>
          <w:tcPr>
            <w:tcW w:w="35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5, 10, 15, 20</w:t>
            </w:r>
          </w:p>
        </w:tc>
        <w:tc>
          <w:tcPr>
            <w:tcW w:w="240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0-12</w:t>
            </w:r>
          </w:p>
        </w:tc>
      </w:tr>
    </w:tbl>
    <w:p>
      <w:pPr>
        <w:pStyle w:val="Heading2"/>
        <w:spacing w:after="100"/>
        <w:keepTogether/>
      </w:pPr>
      <w:r>
        <w:rPr>
          <w:rFonts w:ascii="Arial" w:hAnsi="Arial" w:eastAsia="Arial" w:cs="Arial"/>
          <w:sz w:val="23"/>
          <w:b/>
        </w:rPr>
        <w:t xml:space="preserve">Интерпретация и ограничения</w:t>
      </w:r>
    </w:p>
    <w:p>
      <w:pPr>
        <w:spacing w:after="120"/>
        <w:keepTogether/>
      </w:pPr>
      <w:r>
        <w:rPr>
          <w:rFonts w:ascii="Arial" w:hAnsi="Arial" w:eastAsia="Arial" w:cs="Arial"/>
          <w:sz w:val="20"/>
        </w:rPr>
        <w:t xml:space="preserve">Большая сумма обозначает лишь более частое самоописание поведения за последние две недели. Без нормативов нельзя писать: низкий, средний или высокий уровень, отставание, риск, диагноз. На ответы влияет социальная желательность; их следует сопоставлять с наблюдением, индивидуальной беседой, условиями в классе и семейным контекстом.</w:t>
      </w:r>
    </w:p>
    <w:p>
      <w:pPr>
        <w:spacing w:after="120"/>
        <w:keepTogether/>
      </w:pPr>
      <w:r>
        <w:rPr>
          <w:rFonts w:ascii="Arial" w:hAnsi="Arial" w:eastAsia="Arial" w:cs="Arial"/>
          <w:sz w:val="20"/>
        </w:rPr>
        <w:t xml:space="preserve">Отдельные листы: студенческий бланк и протокол психолога A4 доступны в карточке методики. Файлы группы выгружаются в CSV и обрабатываются локально в браузере.</w:t>
      </w:r>
    </w:p>
    <w:p>
      <w:pPr>
        <w:pStyle w:val="Heading2"/>
        <w:spacing w:after="90"/>
        <w:keepTogether/>
      </w:pPr>
      <w:r>
        <w:rPr>
          <w:rFonts w:ascii="Arial" w:hAnsi="Arial" w:eastAsia="Arial" w:cs="Arial"/>
          <w:sz w:val="23"/>
          <w:b/>
        </w:rPr>
        <w:t xml:space="preserve">Текст стимульных утверждений</w:t>
      </w:r>
    </w:p>
    <w:tbl>
      <w:tblPr>
        <w:tblW w:w="10500" w:type="dxa"/>
        <w:tblLayout w:type="fixed"/>
        <w:tblBorders>
          <w:top w:val="single" w:sz="4" w:color="BBCDBD"/>
          <w:left w:val="single" w:sz="4" w:color="BBCDBD"/>
          <w:bottom w:val="single" w:sz="4" w:color="BBCDBD"/>
          <w:right w:val="single" w:sz="4" w:color="BBCDBD"/>
          <w:insideH w:val="single" w:sz="4" w:color="BBCDBD"/>
          <w:insideV w:val="single" w:sz="4" w:color="BBCDBD"/>
        </w:tblBorders>
      </w:tblPr>
      <w:tblGrid>
        <w:gridCol w:w="550"/>
        <w:gridCol w:w="9950"/>
      </w:tblGrid>
      <w:tr>
        <w:trPr>
          <w:tblHeader w:val="true"/>
        </w:trPr>
        <w:tc>
          <w:tcPr>
            <w:tcW w:w="55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  <w:b/>
              </w:rPr>
              <w:t xml:space="preserve">№</w:t>
            </w:r>
          </w:p>
        </w:tc>
        <w:tc>
          <w:tcPr>
            <w:tcW w:w="995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  <w:b/>
              </w:rPr>
              <w:t xml:space="preserve">Утверждение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замечаю, когда у меня меняется настроение.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2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Когда я злюсь, мне удается остановиться, прежде чем что-то сказать или сделать.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3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замечаю, когда человеку рядом со мной неловко или грустно.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4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могу спокойно объяснить другому человеку, что мне нужно.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5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Перед сложным выбором я думаю о возможных последствиях.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6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Обычно я понимаю, что именно меня расстроило.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7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Если задание не получается, я пробую успокоиться и продолжить.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8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стараюсь понять чужую точку зрения, даже если не согласен с ней.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9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Во время совместной работы я могу договариваться о том, кто что делает.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10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учитываю, может ли мой поступок задеть других людей.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11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могу назвать свои сильные стороны.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12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Когда переживания мешают мне учиться, я могу попросить о помощи.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13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Если кто-то выглядит расстроенным, я могу спросить, нужна ли помощь.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14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могу выслушать человека до конца, не перебивая.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15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Во время спора я стараюсь найти безопасное и уважительное решение.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16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понимаю, как мои чувства влияют на мои поступки.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17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После неудачи я могу придумать маленький следующий шаг.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18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Я стараюсь учитывать чувства людей, чей опыт отличается от моего.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19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Если я не согласен с другим человеком, могу сказать об этом уважительно.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20</w:t>
            </w:r>
          </w:p>
        </w:tc>
        <w:tc>
          <w:tcPr>
            <w:tcW w:w="995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8"/>
              </w:rPr>
              <w:t xml:space="preserve">При решении проблемы я стараюсь рассмотреть больше одного варианта.</w:t>
            </w:r>
          </w:p>
        </w:tc>
      </w:tr>
    </w:tbl>
    <w:p>
      <w:pPr>
        <w:pStyle w:val="Heading2"/>
        <w:spacing w:after="90"/>
        <w:keepTogether/>
      </w:pPr>
      <w:r>
        <w:rPr>
          <w:rFonts w:ascii="Arial" w:hAnsi="Arial" w:eastAsia="Arial" w:cs="Arial"/>
          <w:sz w:val="23"/>
          <w:b/>
        </w:rPr>
        <w:t xml:space="preserve">Профессиональные заметки</w:t>
      </w:r>
    </w:p>
    <w:p>
      <w:pPr>
        <w:spacing w:after="90"/>
        <w:keepTogether/>
      </w:pPr>
      <w:r>
        <w:rPr>
          <w:rFonts w:ascii="Arial" w:hAnsi="Arial" w:eastAsia="Arial" w:cs="Arial"/>
          <w:sz w:val="19"/>
        </w:rPr>
        <w:t xml:space="preserve">Код ученика: ___________________  Дата: ____________  Возраст/класс: ____________</w:t>
      </w:r>
    </w:p>
    <w:p>
      <w:pPr>
        <w:spacing w:after="90"/>
        <w:keepTogether/>
      </w:pPr>
      <w:r>
        <w:rPr>
          <w:rFonts w:ascii="Arial" w:hAnsi="Arial" w:eastAsia="Arial" w:cs="Arial"/>
          <w:sz w:val="18"/>
        </w:rPr>
        <w:t xml:space="preserve">Наблюдение: __________________________________________________________________________</w:t>
      </w:r>
    </w:p>
    <w:p>
      <w:pPr>
        <w:spacing w:after="90"/>
        <w:keepTogether/>
      </w:pPr>
      <w:r>
        <w:rPr>
          <w:rFonts w:ascii="Arial" w:hAnsi="Arial" w:eastAsia="Arial" w:cs="Arial"/>
          <w:sz w:val="18"/>
        </w:rPr>
        <w:t xml:space="preserve">Слова ученика / контекст: ______________________________________________________________</w:t>
      </w:r>
    </w:p>
    <w:p>
      <w:pPr>
        <w:spacing w:after="120"/>
        <w:keepTogether/>
      </w:pPr>
      <w:r>
        <w:rPr>
          <w:rFonts w:ascii="Arial" w:hAnsi="Arial" w:eastAsia="Arial" w:cs="Arial"/>
          <w:sz w:val="18"/>
        </w:rPr>
        <w:t xml:space="preserve">Следующий шаг сопровождения: _________________________________________________________</w:t>
      </w:r>
    </w:p>
    <w:p>
      <w:pPr>
        <w:spacing w:after="80"/>
        <w:keepTogether/>
      </w:pPr>
      <w:r>
        <w:rPr>
          <w:rFonts w:ascii="Arial" w:hAnsi="Arial" w:eastAsia="Arial" w:cs="Arial"/>
          <w:sz w:val="17"/>
        </w:rPr>
        <w:t xml:space="preserve">Методическая основа компетенций: CASEL, What Is SEL?, https://casel.org/what-is-sel/ . Это не официальный опросник CASEL. Автор формулировок: редакционная рабочая форма Психотеки, 2026.</w:t>
      </w:r>
    </w:p>
    <w:sectPr>
      <w:pgSz w:w="11906" w:h="16838"/>
      <w:pgMar w:top="750" w:right="790" w:bottom="750" w:left="790" w:header="360" w:footer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Arial" w:cs="Arial"/>
      <w:sz w:val="20"/>
    </w:rPr>
  </w:style>
  <w:style w:type="paragraph" w:styleId="Heading1">
    <w:name w:val="heading 1"/>
    <w:pPr>
      <w:keepNext/>
      <w:spacing w:before="0" w:after="160"/>
    </w:pPr>
    <w:rPr>
      <w:rFonts w:ascii="Arial" w:hAnsi="Arial" w:eastAsia="Arial" w:cs="Arial"/>
      <w:b/>
      <w:color w:val="236149"/>
      <w:sz w:val="30"/>
    </w:rPr>
  </w:style>
  <w:style w:type="paragraph" w:styleId="Heading2">
    <w:name w:val="heading 2"/>
    <w:pPr>
      <w:keepNext/>
      <w:spacing w:before="150" w:after="90"/>
    </w:pPr>
    <w:rPr>
      <w:rFonts w:ascii="Arial" w:hAnsi="Arial" w:eastAsia="Arial" w:cs="Arial"/>
      <w:b/>
      <w:color w:val="315F4A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