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Droit de la Propriété Intellectuelle – Cas Subsonic</w:t>
      </w:r>
    </w:p>
    <w:p>
      <w:pPr>
        <w:pStyle w:val="BodyText"/>
      </w:pPr>
      <w:r>
        <w:rPr>
          <w:iCs/>
          <w:i/>
        </w:rPr>
        <w:t xml:space="preserve">Réponses aux questions – Arrêt Cour de cassation, Ch. commerciale, 24 avril 2024 (n° 22-22.999)</w:t>
      </w:r>
    </w:p>
    <w:p>
      <w:pPr>
        <w:pStyle w:val="BodyText"/>
      </w:pPr>
      <w:r>
        <w:rPr>
          <w:bCs/>
          <w:b/>
        </w:rPr>
        <w:t xml:space="preserve">Question 1 – Protections industrielles pour les manettes de PS et le système du brevet</w:t>
      </w:r>
    </w:p>
    <w:p>
      <w:pPr>
        <w:pStyle w:val="BodyText"/>
      </w:pPr>
      <w:r>
        <w:t xml:space="preserve">Protections industrielles applicables</w:t>
      </w:r>
    </w:p>
    <w:p>
      <w:pPr>
        <w:pStyle w:val="BodyText"/>
      </w:pPr>
      <w:r>
        <w:t xml:space="preserve">Plusieurs protections de propriété industrielle peuvent être utilisées pour les manettes de PlayStation :</w:t>
      </w:r>
    </w:p>
    <w:p>
      <w:pPr>
        <w:numPr>
          <w:ilvl w:val="0"/>
          <w:numId w:val="1001"/>
        </w:numPr>
      </w:pPr>
      <w:r>
        <w:rPr>
          <w:bCs/>
          <w:b/>
        </w:rPr>
        <w:t xml:space="preserve">Le brevet d'invention :</w:t>
      </w:r>
      <w:r>
        <w:t xml:space="preserve"> </w:t>
      </w:r>
      <w:r>
        <w:t xml:space="preserve">il protège les innovations techniques intégrées dans la manette (mécanismes de vibration, capteurs de mouvement, connectique, disposition des boutons, etc.). Sony a effectivement déposé plusieurs brevets européens désignant la France pour protéger diverses fonctionnalités de ses manettes PlayStation (brevets n° 0 867 212, n° 0 834 338 et n° 1 331 974, déposés entre 1997 et 2001).</w:t>
      </w:r>
    </w:p>
    <w:p>
      <w:pPr>
        <w:numPr>
          <w:ilvl w:val="0"/>
          <w:numId w:val="1001"/>
        </w:numPr>
      </w:pPr>
      <w:r>
        <w:rPr>
          <w:bCs/>
          <w:b/>
        </w:rPr>
        <w:t xml:space="preserve">Le dessin ou modèle industriel :</w:t>
      </w:r>
      <w:r>
        <w:t xml:space="preserve"> </w:t>
      </w:r>
      <w:r>
        <w:t xml:space="preserve">il protège l'apparence esthétique de la manette (forme, couleurs, ergonomie visuelle).</w:t>
      </w:r>
    </w:p>
    <w:p>
      <w:pPr>
        <w:numPr>
          <w:ilvl w:val="0"/>
          <w:numId w:val="1001"/>
        </w:numPr>
      </w:pPr>
      <w:r>
        <w:rPr>
          <w:bCs/>
          <w:b/>
        </w:rPr>
        <w:t xml:space="preserve">La marque :</w:t>
      </w:r>
      <w:r>
        <w:t xml:space="preserve"> </w:t>
      </w:r>
      <w:r>
        <w:t xml:space="preserve">le nom et le logo « PlayStation » sont protégés par le droit des marques, ce qui empêche une utilisation trompeuse du signe distinctif.</w:t>
      </w:r>
    </w:p>
    <w:p>
      <w:pPr>
        <w:pStyle w:val="FirstParagraph"/>
      </w:pPr>
      <w:r>
        <w:t xml:space="preserve">Le système de protection par brevet</w:t>
      </w:r>
    </w:p>
    <w:p>
      <w:pPr>
        <w:pStyle w:val="BodyText"/>
      </w:pPr>
      <w:r>
        <w:rPr>
          <w:bCs/>
          <w:b/>
        </w:rPr>
        <w:t xml:space="preserve">Conditions de brevetabilité (art. L. 611-10 CPI) :</w:t>
      </w:r>
      <w:r>
        <w:t xml:space="preserve"> </w:t>
      </w:r>
      <w:r>
        <w:t xml:space="preserve">pour être brevetable, une invention doit être nouvelle (non divulguée antérieurement), impliquer une activité inventive (non évidente pour un homme du métier) et être susceptible d'application industrielle.</w:t>
      </w:r>
    </w:p>
    <w:p>
      <w:pPr>
        <w:pStyle w:val="BodyText"/>
      </w:pPr>
      <w:r>
        <w:rPr>
          <w:bCs/>
          <w:b/>
        </w:rPr>
        <w:t xml:space="preserve">Dépôt et enregistrement :</w:t>
      </w:r>
      <w:r>
        <w:t xml:space="preserve"> </w:t>
      </w:r>
      <w:r>
        <w:t xml:space="preserve">le brevet est déposé à l'Institut National de la Propriété Industrielle (INPI) pour une protection nationale, ou à l'Office Européen des Brevets (OEB) pour une protection européenne désignant les États membres souhaités. La durée de protection est de 20 ans à compter du dépôt.</w:t>
      </w:r>
    </w:p>
    <w:p>
      <w:pPr>
        <w:pStyle w:val="BodyText"/>
      </w:pPr>
      <w:r>
        <w:rPr>
          <w:bCs/>
          <w:b/>
        </w:rPr>
        <w:t xml:space="preserve">Inscription au registre national :</w:t>
      </w:r>
      <w:r>
        <w:t xml:space="preserve"> </w:t>
      </w:r>
      <w:r>
        <w:t xml:space="preserve">tout acte transmettant ou modifiant les droits attachés à un brevet doit, pour être opposable aux tiers, être inscrit au registre national des brevets tenu par l'INPI (art. L. 613-9 CPI). L'arrêt du 24 avril 2024 rappelle fermement cette exigence : tant que la cession n'est pas inscrite, le cessionnaire ne peut se prévaloir de ses droits et n'est pas recevable à agir en contrefaçon.</w:t>
      </w:r>
    </w:p>
    <w:p>
      <w:pPr>
        <w:pStyle w:val="BodyText"/>
      </w:pPr>
      <w:r>
        <w:rPr>
          <w:bCs/>
          <w:b/>
        </w:rPr>
        <w:t xml:space="preserve">Coût :</w:t>
      </w:r>
      <w:r>
        <w:t xml:space="preserve"> </w:t>
      </w:r>
      <w:r>
        <w:t xml:space="preserve">le coût d'un brevet français à l'INPI comprend la taxe de dépôt (environ 36 € en ligne), les taxes annuelles de maintien (progressives, de quelques dizaines à plusieurs centaines d'euros par an), et les frais d'un conseil en propriété industrielle (souvent plusieurs milliers d'euros). Pour un brevet européen, les coûts sont nettement plus élevés (taxe de dépôt OEB, désignation des États, taxes annuelles, traductions), pouvant dépasser 30 000 à 50 000 € sur toute la durée de vie du brevet.</w:t>
      </w:r>
    </w:p>
    <w:p>
      <w:pPr>
        <w:pStyle w:val="BodyText"/>
      </w:pPr>
      <w:r>
        <w:rPr>
          <w:bCs/>
          <w:b/>
        </w:rPr>
        <w:t xml:space="preserve">Question 2 – Le contrat liant Subsonic à Sony pour fabriquer et vendre des manettes compatibles</w:t>
      </w:r>
    </w:p>
    <w:p>
      <w:pPr>
        <w:pStyle w:val="BodyText"/>
      </w:pPr>
      <w:r>
        <w:t xml:space="preserve">Pour fabriquer et commercialiser légalement des manettes compatibles avec la PS4, protégées par les brevets de Sony, Subsonic doit conclure un</w:t>
      </w:r>
    </w:p>
    <w:p>
      <w:pPr>
        <w:pStyle w:val="BodyText"/>
      </w:pPr>
      <w:r>
        <w:rPr>
          <w:bCs/>
          <w:b/>
        </w:rPr>
        <w:t xml:space="preserve">contrat de licence de brevet</w:t>
      </w:r>
      <w:r>
        <w:t xml:space="preserve"> </w:t>
      </w:r>
      <w:r>
        <w:t xml:space="preserve">(art. L. 613-8 CPI).</w:t>
      </w:r>
    </w:p>
    <w:p>
      <w:pPr>
        <w:pStyle w:val="BodyText"/>
      </w:pPr>
      <w:r>
        <w:t xml:space="preserve">Par ce contrat, Sony (le concédant/titulaire du brevet) autorise Subsonic (le licencié) à exploiter ses brevets en contrepartie d'une redevance (royalty). La licence peut être :</w:t>
      </w:r>
    </w:p>
    <w:p>
      <w:pPr>
        <w:numPr>
          <w:ilvl w:val="0"/>
          <w:numId w:val="1002"/>
        </w:numPr>
      </w:pPr>
      <w:r>
        <w:rPr>
          <w:bCs/>
          <w:b/>
        </w:rPr>
        <w:t xml:space="preserve">Exclusive :</w:t>
      </w:r>
      <w:r>
        <w:t xml:space="preserve"> </w:t>
      </w:r>
      <w:r>
        <w:t xml:space="preserve">seul le licencié peut exploiter le brevet (même le titulaire s'engage à ne pas l'utiliser lui-même).</w:t>
      </w:r>
    </w:p>
    <w:p>
      <w:pPr>
        <w:numPr>
          <w:ilvl w:val="0"/>
          <w:numId w:val="1002"/>
        </w:numPr>
      </w:pPr>
      <w:r>
        <w:rPr>
          <w:bCs/>
          <w:b/>
        </w:rPr>
        <w:t xml:space="preserve">Non exclusive :</w:t>
      </w:r>
      <w:r>
        <w:t xml:space="preserve"> </w:t>
      </w:r>
      <w:r>
        <w:t xml:space="preserve">Sony peut accorder la même licence à d'autres fabricants.</w:t>
      </w:r>
    </w:p>
    <w:p>
      <w:pPr>
        <w:numPr>
          <w:ilvl w:val="0"/>
          <w:numId w:val="1002"/>
        </w:numPr>
      </w:pPr>
      <w:r>
        <w:rPr>
          <w:bCs/>
          <w:b/>
        </w:rPr>
        <w:t xml:space="preserve">Simple :</w:t>
      </w:r>
      <w:r>
        <w:t xml:space="preserve"> </w:t>
      </w:r>
      <w:r>
        <w:t xml:space="preserve">Subsonic peut exploiter le brevet sans exclusivité particulière.</w:t>
      </w:r>
    </w:p>
    <w:p>
      <w:pPr>
        <w:pStyle w:val="FirstParagraph"/>
      </w:pPr>
      <w:r>
        <w:t xml:space="preserve">Dans la pratique, Sony a mis en place un programme de licences officielles ("PlayStation Licensed Products") permettant à des fabricants tiers comme Subsonic d'obtenir une autorisation formelle, ce qui confère à leurs produits le label officiel et garantit leur compatibilité sans risque de litige.</w:t>
      </w:r>
    </w:p>
    <w:p>
      <w:pPr>
        <w:pStyle w:val="BodyText"/>
      </w:pPr>
      <w:r>
        <w:rPr>
          <w:bCs/>
          <w:b/>
        </w:rPr>
        <w:t xml:space="preserve">Question 3 – Conditions de la contrefaçon de brevet et définition de la concurrence déloyale</w:t>
      </w:r>
    </w:p>
    <w:p>
      <w:pPr>
        <w:pStyle w:val="BodyText"/>
      </w:pPr>
      <w:r>
        <w:t xml:space="preserve">La contrefaçon de brevet</w:t>
      </w:r>
    </w:p>
    <w:p>
      <w:pPr>
        <w:pStyle w:val="BodyText"/>
      </w:pPr>
      <w:r>
        <w:t xml:space="preserve">Selon l'article L. 615-1 CPI, constitue une contrefaçon toute atteinte portée aux droits du titulaire d'un brevet. Les conditions sont :</w:t>
      </w:r>
    </w:p>
    <w:p>
      <w:pPr>
        <w:numPr>
          <w:ilvl w:val="0"/>
          <w:numId w:val="1003"/>
        </w:numPr>
      </w:pPr>
      <w:r>
        <w:rPr>
          <w:bCs/>
          <w:b/>
        </w:rPr>
        <w:t xml:space="preserve">L'existence d'un brevet valide :</w:t>
      </w:r>
      <w:r>
        <w:t xml:space="preserve"> </w:t>
      </w:r>
      <w:r>
        <w:t xml:space="preserve">le brevet doit être en vigueur et régulièrement déposé.</w:t>
      </w:r>
    </w:p>
    <w:p>
      <w:pPr>
        <w:numPr>
          <w:ilvl w:val="0"/>
          <w:numId w:val="1003"/>
        </w:numPr>
      </w:pPr>
      <w:r>
        <w:rPr>
          <w:bCs/>
          <w:b/>
        </w:rPr>
        <w:t xml:space="preserve">La qualité du demandeur :</w:t>
      </w:r>
      <w:r>
        <w:t xml:space="preserve"> </w:t>
      </w:r>
      <w:r>
        <w:t xml:space="preserve">l'action en contrefaçon est exercée par le propriétaire du brevet (art. L. 615-2 CPI). Comme le précise l'arrêt du 24 avril 2024, le cessionnaire d'un brevet doit avoir fait inscrire la cession au registre national des brevets avant d'agir : tant que cette inscription n'est pas effectuée, il n'est pas recevable à agir en contrefaçon (conf. art. L. 613-9 CPI). En l'espèce, la cession avait eu lieu en 2010 mais n'a été inscrite que le 28 juin 2018.</w:t>
      </w:r>
    </w:p>
    <w:p>
      <w:pPr>
        <w:numPr>
          <w:ilvl w:val="0"/>
          <w:numId w:val="1003"/>
        </w:numPr>
      </w:pPr>
      <w:r>
        <w:rPr>
          <w:bCs/>
          <w:b/>
        </w:rPr>
        <w:t xml:space="preserve">Les actes de contrefaçon :</w:t>
      </w:r>
      <w:r>
        <w:t xml:space="preserve"> </w:t>
      </w:r>
      <w:r>
        <w:t xml:space="preserve">fabrication, utilisation, offre de vente, mise dans le commerce ou importation d'un produit contrefaisant, sans l'autorisation du titulaire.</w:t>
      </w:r>
    </w:p>
    <w:p>
      <w:pPr>
        <w:numPr>
          <w:ilvl w:val="0"/>
          <w:numId w:val="1003"/>
        </w:numPr>
      </w:pPr>
      <w:r>
        <w:rPr>
          <w:bCs/>
          <w:b/>
        </w:rPr>
        <w:t xml:space="preserve">Le lien de causalité et le préjudice :</w:t>
      </w:r>
      <w:r>
        <w:t xml:space="preserve"> </w:t>
      </w:r>
      <w:r>
        <w:t xml:space="preserve">une fois l'inscription effectuée, le titulaire peut réclamer réparation des actes commis depuis le transfert de propriété, et si l'acte de cession le prévoit, également des faits antérieurs au transfert (principe posé par l'arrêt).</w:t>
      </w:r>
    </w:p>
    <w:p>
      <w:pPr>
        <w:pStyle w:val="FirstParagraph"/>
      </w:pPr>
      <w:r>
        <w:rPr>
          <w:bCs/>
          <w:b/>
        </w:rPr>
        <w:t xml:space="preserve">Procédure :</w:t>
      </w:r>
      <w:r>
        <w:t xml:space="preserve"> </w:t>
      </w:r>
      <w:r>
        <w:t xml:space="preserve">le titulaire peut demander une saisie-contrefaçon (art. L. 615-5 CPI) avant d'assigner au fond, afin de constituer des preuves. Dans l'affaire Subsonic, Sony avait fait réaliser des opérations de saisie-contrefaçon en décembre 2016 dans les locaux de Subsonic.</w:t>
      </w:r>
    </w:p>
    <w:p>
      <w:pPr>
        <w:pStyle w:val="BodyText"/>
      </w:pPr>
      <w:r>
        <w:t xml:space="preserve">La concurrence déloyale</w:t>
      </w:r>
    </w:p>
    <w:p>
      <w:pPr>
        <w:pStyle w:val="BodyText"/>
      </w:pPr>
      <w:r>
        <w:t xml:space="preserve">La concurrence déloyale est fondée sur l'article 1240 du Code civil (responsabilité délictuelle). Elle sanctionne des comportements fautifs qui faussent le jeu de la concurrence, sans qu'il soit nécessaire d'invoquer un droit privatif.</w:t>
      </w:r>
    </w:p>
    <w:p>
      <w:pPr>
        <w:pStyle w:val="BodyText"/>
      </w:pPr>
      <w:r>
        <w:t xml:space="preserve">Elle suppose : une faute (acte contraire aux usages loyaux du commerce), un préjudice distinct, et un lien de causalité.</w:t>
      </w:r>
    </w:p>
    <w:p>
      <w:pPr>
        <w:pStyle w:val="BodyText"/>
      </w:pPr>
      <w:r>
        <w:t xml:space="preserve">Elle peut se fonder sur des actes tels que : le parasitisme, la désorganisation d'un concurrent, le dénigrement, la confusion entre produits.</w:t>
      </w:r>
    </w:p>
    <w:p>
      <w:pPr>
        <w:pStyle w:val="BodyText"/>
      </w:pPr>
      <w:r>
        <w:rPr>
          <w:bCs/>
          <w:b/>
        </w:rPr>
        <w:t xml:space="preserve">Apport important de l'arrêt du 24 avril 2024 :</w:t>
      </w:r>
      <w:r>
        <w:t xml:space="preserve"> </w:t>
      </w:r>
      <w:r>
        <w:t xml:space="preserve">la Cour de cassation précise que l'action en concurrence déloyale peut se fonder sur des faits matériellement identiques à ceux allégués au soutien d'une action en contrefaçon, même si celle-ci a été rejetée pour défaut de constitution d'un droit privatif ou pour inopposabilité du droit privatif aux tiers. Ainsi, la société Sony France (distributeur), qui ne peut pas agir en contrefaçon (elle n'est pas titulaire du brevet), peut néanmoins agir en concurrence déloyale sur les mêmes faits matériels.</w:t>
      </w:r>
    </w:p>
    <w:p>
      <w:pPr>
        <w:pStyle w:val="BodyText"/>
      </w:pPr>
      <w:r>
        <w:rPr>
          <w:bCs/>
          <w:b/>
        </w:rPr>
        <w:t xml:space="preserve">Question 4 – Recours juridique de Subsonic contre les manœuvres anticoncurrentielles de Sony et sanctions prononcées</w:t>
      </w:r>
    </w:p>
    <w:p>
      <w:pPr>
        <w:pStyle w:val="BodyText"/>
      </w:pPr>
      <w:r>
        <w:t xml:space="preserve">Sony avait mis en place des mesures techniques empêchant les manettes non officielles de fonctionner avec la PS4, ce qui constitue un comportement potentiellement anticoncurrentiel.</w:t>
      </w:r>
    </w:p>
    <w:p>
      <w:pPr>
        <w:pStyle w:val="BodyText"/>
      </w:pPr>
      <w:r>
        <w:t xml:space="preserve">Le recours juridique de Subsonic</w:t>
      </w:r>
    </w:p>
    <w:p>
      <w:pPr>
        <w:pStyle w:val="BodyText"/>
      </w:pPr>
      <w:r>
        <w:t xml:space="preserve">Subsonic peut saisir l'Autorité de la concurrence (France) sur le fondement des articles L. 420-1 et L. 420-2 du Code de commerce, qui prohibent respectivement les ententes anticoncurrentielles et les abus de position dominante.</w:t>
      </w:r>
    </w:p>
    <w:p>
      <w:pPr>
        <w:pStyle w:val="BodyText"/>
      </w:pPr>
      <w:r>
        <w:t xml:space="preserve">Sony, en tant que détenteur d'une position dominante sur le marché des consoles PlayStation et des accessoires associés, commet un abus en utilisant des mesures techniques d'exclusion pour évincer les fabricants de manettes tierces du marché, sans justification objective légitime.</w:t>
      </w:r>
    </w:p>
    <w:p>
      <w:pPr>
        <w:pStyle w:val="BodyText"/>
      </w:pPr>
      <w:r>
        <w:t xml:space="preserve">L'organisme compétent et les sanctions prononcées</w:t>
      </w:r>
    </w:p>
    <w:p>
      <w:pPr>
        <w:pStyle w:val="BodyText"/>
      </w:pPr>
      <w:r>
        <w:rPr>
          <w:bCs/>
          <w:b/>
        </w:rPr>
        <w:t xml:space="preserve">L'Autorité de la concurrence</w:t>
      </w:r>
      <w:r>
        <w:t xml:space="preserve"> </w:t>
      </w:r>
      <w:r>
        <w:t xml:space="preserve">est l'organisme français indépendant compétent pour instruire ces pratiques (créée par la loi LME de 2008, succédant au Conseil de la concurrence).</w:t>
      </w:r>
    </w:p>
    <w:p>
      <w:pPr>
        <w:pStyle w:val="BodyText"/>
      </w:pPr>
      <w:r>
        <w:t xml:space="preserve">L'Autorité de la concurrence a effectivement sanctionné Sony dans une affaire similaire concernant les mesures techniques de verrouillage des manettes PlayStation. Elle a considéré que ces pratiques constituaient un abus de position dominante en entravant l'accès des fabricants tiers au marché des accessoires compatibles PS4.</w:t>
      </w:r>
    </w:p>
    <w:p>
      <w:pPr>
        <w:pStyle w:val="BodyText"/>
      </w:pPr>
      <w:r>
        <w:t xml:space="preserve">Les sanctions prévues par le Code de commerce (art. L. 464-2) peuvent inclure :</w:t>
      </w:r>
    </w:p>
    <w:p>
      <w:pPr>
        <w:numPr>
          <w:ilvl w:val="0"/>
          <w:numId w:val="1004"/>
        </w:numPr>
      </w:pPr>
      <w:r>
        <w:t xml:space="preserve">Des injonctions de cesser les pratiques anticoncurrentielles (obligation de rendre les manettes tierces à nouveau fonctionnelles).</w:t>
      </w:r>
    </w:p>
    <w:p>
      <w:pPr>
        <w:numPr>
          <w:ilvl w:val="0"/>
          <w:numId w:val="1004"/>
        </w:numPr>
      </w:pPr>
      <w:r>
        <w:t xml:space="preserve">Des sanctions pécuniaires pouvant atteindre 10 % du chiffre d'affaires mondial hors taxes de l'entreprise.</w:t>
      </w:r>
    </w:p>
    <w:p>
      <w:pPr>
        <w:numPr>
          <w:ilvl w:val="0"/>
          <w:numId w:val="1004"/>
        </w:numPr>
      </w:pPr>
      <w:r>
        <w:t xml:space="preserve">La publication de la décision.</w:t>
      </w:r>
    </w:p>
    <w:p>
      <w:pPr>
        <w:pStyle w:val="FirstParagraph"/>
      </w:pPr>
      <w:r>
        <w:t xml:space="preserve">Par ailleurs, au niveau européen, la Commission européenne et la CJUE peuvent également intervenir si les pratiques affectent le commerce entre États membres, sur le fondement des articles 101 et 102 TFUE.</w:t>
      </w:r>
    </w:p>
    <w:p>
      <w:pPr>
        <w:pStyle w:val="BodyText"/>
      </w:pPr>
      <w:r>
        <w:rPr>
          <w:bCs/>
          <w:b/>
          <w:iCs/>
          <w:i/>
        </w:rPr>
        <w:t xml:space="preserve">Note :</w:t>
      </w:r>
      <w:r>
        <w:rPr>
          <w:iCs/>
          <w:i/>
        </w:rPr>
        <w:t xml:space="preserve"> </w:t>
      </w:r>
      <w:r>
        <w:rPr>
          <w:iCs/>
          <w:i/>
        </w:rPr>
        <w:t xml:space="preserve">Les réponses aux questions 1, 2 et 3 intègrent les enseignements de l'arrêt Cour de cassation, Ch. commerciale, 24 avril 2024, pourvoi n° 22-22.999 (Sony c/ Subsonic), qui clarifie les conditions de recevabilité de l'action en contrefaçon de brevet (nécessité d'inscription au registre national) et admet l'action en concurrence déloyale sur des faits identiques à ceux d'une contrefaçon irrecevable.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2026-03-11T07:50:35Z</dcterms:created>
  <dcterms:modified xsi:type="dcterms:W3CDTF">2026-03-11T07:50:35Z</dcterms:modified>
</cp:coreProperties>
</file>

<file path=docProps/custom.xml><?xml version="1.0" encoding="utf-8"?>
<Properties xmlns="http://schemas.openxmlformats.org/officeDocument/2006/custom-properties" xmlns:vt="http://schemas.openxmlformats.org/officeDocument/2006/docPropsVTypes"/>
</file>