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F2F" w14:textId="1436302F" w:rsidR="0009223C" w:rsidRDefault="00E0697E" w:rsidP="00E0697E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Continuité des fonctions vectorielles – Démonstrations</w:t>
      </w:r>
    </w:p>
    <w:p w14:paraId="2709F851" w14:textId="77777777" w:rsidR="00E0697E" w:rsidRDefault="00E0697E" w:rsidP="00E0697E">
      <w:pPr>
        <w:pStyle w:val="Paragraphedeliste"/>
        <w:ind w:left="0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  <w:u w:val="single"/>
        </w:rPr>
        <w:t>Exemple :</w:t>
      </w:r>
      <w:r>
        <w:rPr>
          <w:rFonts w:ascii="Calibri" w:eastAsiaTheme="minorEastAsia" w:hAnsi="Calibri" w:cs="Calibri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4487F353" w14:textId="77777777" w:rsidR="00E0697E" w:rsidRDefault="00E0697E" w:rsidP="00E0697E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>Pour une fonction constante.</w:t>
      </w:r>
    </w:p>
    <w:p w14:paraId="2E8E7DF6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C∈F</m:t>
        </m:r>
      </m:oMath>
      <w:r>
        <w:rPr>
          <w:rFonts w:ascii="Calibri" w:eastAsiaTheme="minorEastAsia" w:hAnsi="Calibri" w:cs="Calibri"/>
          <w:color w:val="7030A0"/>
        </w:rPr>
        <w:t xml:space="preserve">. Soit </w:t>
      </w:r>
      <m:oMath>
        <m:r>
          <w:rPr>
            <w:rFonts w:ascii="Cambria Math" w:eastAsiaTheme="minorEastAsia" w:hAnsi="Cambria Math" w:cs="Calibri"/>
            <w:color w:val="7030A0"/>
          </w:rPr>
          <m:t>f :E→F</m:t>
        </m:r>
      </m:oMath>
    </w:p>
    <w:p w14:paraId="2B8312CC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 w:cs="Calibri"/>
            <w:color w:val="7030A0"/>
          </w:rPr>
          <m:t>x↦C∈F</m:t>
        </m:r>
      </m:oMath>
    </w:p>
    <w:p w14:paraId="5E74DA13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a∈E</m:t>
        </m:r>
      </m:oMath>
      <w:r>
        <w:rPr>
          <w:rFonts w:ascii="Calibri" w:eastAsiaTheme="minorEastAsia" w:hAnsi="Calibri" w:cs="Calibri"/>
          <w:color w:val="7030A0"/>
        </w:rPr>
        <w:t>.</w:t>
      </w:r>
    </w:p>
    <w:p w14:paraId="43DEED0F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  <w:r>
        <w:rPr>
          <w:rFonts w:ascii="Calibri" w:eastAsiaTheme="minorEastAsia" w:hAnsi="Calibri" w:cs="Calibri"/>
          <w:color w:val="7030A0"/>
        </w:rPr>
        <w:t xml:space="preserve">, pour tout </w:t>
      </w:r>
      <m:oMath>
        <m:r>
          <w:rPr>
            <w:rFonts w:ascii="Cambria Math" w:eastAsiaTheme="minorEastAsia" w:hAnsi="Cambria Math" w:cs="Calibri"/>
            <w:color w:val="7030A0"/>
          </w:rPr>
          <m:t>η&gt;0</m:t>
        </m:r>
      </m:oMath>
      <w:r>
        <w:rPr>
          <w:rFonts w:ascii="Calibri" w:eastAsiaTheme="minorEastAsia" w:hAnsi="Calibri" w:cs="Calibri"/>
          <w:color w:val="7030A0"/>
        </w:rPr>
        <w:t xml:space="preserve">, alors </w:t>
      </w:r>
    </w:p>
    <w:p w14:paraId="5A393057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=0&lt;ε</m:t>
          </m:r>
        </m:oMath>
      </m:oMathPara>
    </w:p>
    <w:p w14:paraId="5F0055EA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 w:cs="Calibri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 w:cs="Calibri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alibri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7030A0"/>
          </w:rPr>
          <m:t>=C</m:t>
        </m:r>
      </m:oMath>
    </w:p>
    <w:p w14:paraId="2AECE9D2" w14:textId="77777777" w:rsidR="00E0697E" w:rsidRDefault="00E0697E" w:rsidP="00E0697E">
      <w:pPr>
        <w:pStyle w:val="Paragraphedeliste"/>
        <w:numPr>
          <w:ilvl w:val="0"/>
          <w:numId w:val="1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1,n</m:t>
            </m:r>
          </m:e>
        </m:d>
      </m:oMath>
      <w:r>
        <w:rPr>
          <w:rFonts w:ascii="Calibri" w:eastAsiaTheme="minorEastAsia" w:hAnsi="Calibri" w:cs="Calibri"/>
          <w:color w:val="7030A0"/>
        </w:rPr>
        <w:t xml:space="preserve">, considérons </w:t>
      </w:r>
      <w:r>
        <w:rPr>
          <w:rFonts w:ascii="Calibri" w:eastAsiaTheme="minorEastAsia" w:hAnsi="Calibri" w:cs="Calibri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 w:cs="Calibri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Calibri"/>
            <w:color w:val="7030A0"/>
          </w:rPr>
          <m:t>→R</m:t>
        </m:r>
      </m:oMath>
    </w:p>
    <w:p w14:paraId="5DD2E1C6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7E2C4384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03270FF3" w14:textId="77777777" w:rsidR="00E0697E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</w:p>
    <w:p w14:paraId="0C9B8D76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 w:rsidRPr="00FD1126">
        <w:rPr>
          <w:rFonts w:ascii="Calibri" w:eastAsiaTheme="minorEastAsia" w:hAnsi="Calibri" w:cs="Calibri"/>
          <w:color w:val="7030A0"/>
        </w:rPr>
        <w:t xml:space="preserve">Posons </w:t>
      </w:r>
      <m:oMath>
        <m:r>
          <w:rPr>
            <w:rFonts w:ascii="Cambria Math" w:eastAsiaTheme="minorEastAsia" w:hAnsi="Cambria Math" w:cs="Calibri"/>
            <w:color w:val="7030A0"/>
          </w:rPr>
          <m:t>η=ε&gt;0</m:t>
        </m:r>
      </m:oMath>
      <w:r w:rsidRPr="00FD1126">
        <w:rPr>
          <w:rFonts w:ascii="Calibri" w:eastAsiaTheme="minorEastAsia" w:hAnsi="Calibri" w:cs="Calibri"/>
          <w:color w:val="7030A0"/>
        </w:rPr>
        <w:t xml:space="preserve"> (on a comp</w:t>
      </w:r>
      <w:r>
        <w:rPr>
          <w:rFonts w:ascii="Calibri" w:eastAsiaTheme="minorEastAsia" w:hAnsi="Calibri" w:cs="Calibri"/>
          <w:color w:val="7030A0"/>
        </w:rPr>
        <w:t>lété après)</w:t>
      </w:r>
    </w:p>
    <w:p w14:paraId="468E937A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Alors </w:t>
      </w:r>
      <m:oMath>
        <m:r>
          <w:rPr>
            <w:rFonts w:ascii="Cambria Math" w:eastAsiaTheme="minorEastAsia" w:hAnsi="Cambria Math" w:cs="Calibri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66BC9536" w14:textId="77777777" w:rsidR="00E0697E" w:rsidRPr="00FD1126" w:rsidRDefault="00000000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</m:t>
          </m:r>
        </m:oMath>
      </m:oMathPara>
    </w:p>
    <w:p w14:paraId="6BB52ABB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≤η=ε</m:t>
          </m:r>
        </m:oMath>
      </m:oMathPara>
    </w:p>
    <w:p w14:paraId="20353A47" w14:textId="77777777" w:rsidR="00E0697E" w:rsidRPr="00FD1126" w:rsidRDefault="00E0697E" w:rsidP="00E0697E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="Calibri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446C5C3A" w14:textId="77777777" w:rsidR="005601E1" w:rsidRPr="002D2A6A" w:rsidRDefault="005601E1" w:rsidP="005601E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Les applications lipschitziennes sont </w:t>
      </w:r>
      <w:proofErr w:type="spellStart"/>
      <w:r>
        <w:rPr>
          <w:rFonts w:eastAsiaTheme="minorEastAsia"/>
        </w:rPr>
        <w:t>continues</w:t>
      </w:r>
      <w:proofErr w:type="spellEnd"/>
      <w:r>
        <w:rPr>
          <w:rFonts w:eastAsiaTheme="minorEastAsia"/>
        </w:rPr>
        <w:t>.</w:t>
      </w:r>
    </w:p>
    <w:p w14:paraId="0C1B01B4" w14:textId="77777777" w:rsidR="005601E1" w:rsidRDefault="005601E1" w:rsidP="005601E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</w:t>
      </w:r>
      <w:r w:rsidRPr="002D2A6A">
        <w:rPr>
          <w:rFonts w:eastAsiaTheme="minorEastAsia"/>
          <w:color w:val="FF3399"/>
        </w:rPr>
        <w:t xml:space="preserve"> </w:t>
      </w:r>
      <w:r w:rsidRPr="002D2A6A">
        <w:rPr>
          <w:rFonts w:ascii="Cambria Math" w:eastAsiaTheme="minorEastAsia" w:hAnsi="Cambria Math" w:cs="Cambria Math"/>
          <w:color w:val="FF3399"/>
        </w:rPr>
        <w:t>⍟</w:t>
      </w:r>
    </w:p>
    <w:p w14:paraId="031D07B3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 :X⊂E→F</m:t>
        </m:r>
      </m:oMath>
      <w:r>
        <w:rPr>
          <w:rFonts w:eastAsiaTheme="minorEastAsia"/>
          <w:color w:val="FF3399"/>
        </w:rPr>
        <w:t xml:space="preserve"> est lipschitzienne, alors </w:t>
      </w:r>
      <m:oMath>
        <m:r>
          <w:rPr>
            <w:rFonts w:ascii="Cambria Math" w:eastAsiaTheme="minorEastAsia" w:hAnsi="Cambria Math"/>
            <w:color w:val="FF3399"/>
          </w:rPr>
          <m:t>∃k∈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+</m:t>
            </m:r>
          </m:sub>
        </m:sSub>
      </m:oMath>
      <w:r>
        <w:rPr>
          <w:rFonts w:eastAsiaTheme="minorEastAsia"/>
          <w:color w:val="FF3399"/>
        </w:rPr>
        <w:t xml:space="preserve"> tel que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x,y∈X,</m:t>
        </m:r>
      </m:oMath>
    </w:p>
    <w:p w14:paraId="0BBCFF13" w14:textId="77777777" w:rsidR="005601E1" w:rsidRPr="002D2A6A" w:rsidRDefault="005601E1" w:rsidP="005601E1">
      <w:pPr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</m:oMath>
      </m:oMathPara>
    </w:p>
    <w:p w14:paraId="6C923359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a∈X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>.</w:t>
      </w:r>
    </w:p>
    <w:p w14:paraId="3FC8DE0D" w14:textId="77777777" w:rsidR="005601E1" w:rsidRPr="002D2A6A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k≠0</m:t>
        </m:r>
      </m:oMath>
      <w:r>
        <w:rPr>
          <w:rFonts w:eastAsiaTheme="minorEastAsia"/>
          <w:b/>
          <w:bCs/>
          <w:color w:val="FF3399"/>
        </w:rPr>
        <w:t> :</w:t>
      </w:r>
    </w:p>
    <w:p w14:paraId="17FB65AD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. 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k</m:t>
            </m:r>
          </m:den>
        </m:f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2278663B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 xml:space="preserve">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≤kη≤ε</m:t>
        </m:r>
      </m:oMath>
      <w:r>
        <w:rPr>
          <w:rFonts w:eastAsiaTheme="minorEastAsia"/>
          <w:color w:val="FF3399"/>
        </w:rPr>
        <w:t>.</w:t>
      </w:r>
    </w:p>
    <w:p w14:paraId="7FF6AABD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3501158A" w14:textId="77777777" w:rsidR="005601E1" w:rsidRDefault="005601E1" w:rsidP="005601E1">
      <w:pPr>
        <w:rPr>
          <w:rFonts w:eastAsiaTheme="minorEastAsia"/>
          <w:b/>
          <w:bCs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k=0</m:t>
        </m:r>
      </m:oMath>
      <w:r>
        <w:rPr>
          <w:rFonts w:eastAsiaTheme="minorEastAsia"/>
          <w:b/>
          <w:bCs/>
          <w:color w:val="FF3399"/>
        </w:rPr>
        <w:t>,</w:t>
      </w:r>
    </w:p>
    <w:p w14:paraId="05A412CC" w14:textId="77777777" w:rsidR="005601E1" w:rsidRDefault="005601E1" w:rsidP="005601E1">
      <w:pPr>
        <w:rPr>
          <w:rFonts w:eastAsiaTheme="minorEastAsia"/>
          <w:color w:val="FF3399"/>
        </w:rPr>
      </w:pPr>
      <m:oMath>
        <m:r>
          <m:rPr>
            <m:lit/>
            <m:sty m:val="bi"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0≤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≤0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0271D06A" w14:textId="77777777" w:rsidR="005601E1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d’où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</m:oMath>
      <w:r>
        <w:rPr>
          <w:rFonts w:eastAsiaTheme="minorEastAsia"/>
          <w:color w:val="FF3399"/>
        </w:rPr>
        <w:t>.</w:t>
      </w:r>
    </w:p>
    <w:p w14:paraId="63551DBD" w14:textId="77777777" w:rsidR="005601E1" w:rsidRPr="002D2A6A" w:rsidRDefault="005601E1" w:rsidP="005601E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constante, donc continue.</w:t>
      </w:r>
    </w:p>
    <w:p w14:paraId="5362D472" w14:textId="77777777" w:rsidR="005601E1" w:rsidRDefault="005601E1" w:rsidP="005601E1">
      <w:pPr>
        <w:rPr>
          <w:rFonts w:ascii="Cambria Math" w:eastAsiaTheme="minorEastAsia" w:hAnsi="Cambria Math" w:cs="Cambria Math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117D02C4" w14:textId="77777777" w:rsidR="005601E1" w:rsidRDefault="005601E1" w:rsidP="005601E1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-lipschtzienne, car </w:t>
      </w:r>
      <m:oMath>
        <m:r>
          <w:rPr>
            <w:rFonts w:ascii="Cambria Math" w:eastAsiaTheme="minorEastAsia" w:hAnsi="Cambria Math"/>
            <w:color w:val="7030A0"/>
          </w:rPr>
          <m:t>∀x,y∈E,</m:t>
        </m:r>
      </m:oMath>
    </w:p>
    <w:p w14:paraId="03DFDB85" w14:textId="77777777" w:rsidR="005601E1" w:rsidRPr="002D2A6A" w:rsidRDefault="005601E1" w:rsidP="005601E1">
      <w:pPr>
        <w:rPr>
          <w:rFonts w:eastAsiaTheme="minorEastAsia"/>
          <w:color w:val="7030A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≤1</m:t>
          </m:r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</m:oMath>
      </m:oMathPara>
    </w:p>
    <w:p w14:paraId="3DF52747" w14:textId="77777777" w:rsidR="005601E1" w:rsidRDefault="005601E1" w:rsidP="005601E1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Par l’inégalité triangulaire inversée.</w:t>
      </w:r>
    </w:p>
    <w:p w14:paraId="00F09DD9" w14:textId="77777777" w:rsidR="005601E1" w:rsidRDefault="005601E1" w:rsidP="005601E1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 est continue sur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 xml:space="preserve">E,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⋅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136BBBA2" w14:textId="77777777" w:rsidR="00E0697E" w:rsidRPr="00E0697E" w:rsidRDefault="00E0697E" w:rsidP="00E0697E">
      <w:pPr>
        <w:rPr>
          <w:rFonts w:ascii="Calibri" w:hAnsi="Calibri" w:cs="Calibri"/>
          <w:b/>
          <w:bCs/>
          <w:u w:val="single"/>
        </w:rPr>
      </w:pPr>
    </w:p>
    <w:sectPr w:rsidR="00E0697E" w:rsidRPr="00E0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6F"/>
    <w:rsid w:val="0009223C"/>
    <w:rsid w:val="002F4044"/>
    <w:rsid w:val="00436D0C"/>
    <w:rsid w:val="005601E1"/>
    <w:rsid w:val="00756B22"/>
    <w:rsid w:val="00784F6F"/>
    <w:rsid w:val="00E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6398"/>
  <w15:chartTrackingRefBased/>
  <w15:docId w15:val="{9560E9B6-8D78-4258-924F-D74760F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4F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4F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4F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4F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4F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4F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4F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4F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4F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4F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2024-02-11T17:21:00Z</dcterms:created>
  <dcterms:modified xsi:type="dcterms:W3CDTF">2024-02-18T11:39:00Z</dcterms:modified>
</cp:coreProperties>
</file>