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2519" w14:textId="2CBA6691" w:rsidR="0009223C" w:rsidRDefault="007A3D69" w:rsidP="007A3D69">
      <w:pPr>
        <w:jc w:val="center"/>
        <w:rPr>
          <w:sz w:val="30"/>
          <w:szCs w:val="30"/>
        </w:rPr>
      </w:pPr>
      <w:r>
        <w:rPr>
          <w:sz w:val="30"/>
          <w:szCs w:val="30"/>
        </w:rPr>
        <w:t>Théorèmes Algèbre</w:t>
      </w:r>
    </w:p>
    <w:p w14:paraId="09062400" w14:textId="77777777" w:rsidR="007A3D69" w:rsidRDefault="007A3D69" w:rsidP="007A3D69">
      <w:r>
        <w:rPr>
          <w:u w:val="single"/>
        </w:rPr>
        <w:t>Groupe :</w:t>
      </w:r>
    </w:p>
    <w:p w14:paraId="4B9FC77A" w14:textId="77777777" w:rsidR="007A3D69" w:rsidRDefault="007A3D69" w:rsidP="007A3D69">
      <w:pPr>
        <w:rPr>
          <w:rFonts w:eastAsiaTheme="minorEastAsia"/>
        </w:rPr>
      </w:pPr>
      <w:r>
        <w:t xml:space="preserve">Un groupe est un couple </w:t>
      </w:r>
      <m:oMath>
        <m:r>
          <w:rPr>
            <w:rFonts w:ascii="Cambria Math" w:hAnsi="Cambria Math"/>
          </w:rPr>
          <m:t>(G,*)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et un ensemble </w:t>
      </w:r>
      <m:oMath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muni d’une loi de composition interne </w:t>
      </w:r>
    </w:p>
    <w:p w14:paraId="4BB464FE" w14:textId="77777777" w:rsidR="007A3D69" w:rsidRDefault="007A3D69" w:rsidP="007A3D69">
      <w:pPr>
        <w:rPr>
          <w:rFonts w:eastAsiaTheme="minorEastAsia"/>
        </w:rPr>
      </w:pPr>
      <m:oMath>
        <m:r>
          <w:rPr>
            <w:rFonts w:ascii="Cambria Math" w:hAnsi="Cambria Math"/>
          </w:rPr>
          <m:t>*:G×G→G</m:t>
        </m:r>
      </m:oMath>
      <w:r>
        <w:rPr>
          <w:rFonts w:eastAsiaTheme="minorEastAsia"/>
        </w:rPr>
        <w:t xml:space="preserve"> qui est :</w:t>
      </w:r>
    </w:p>
    <w:p w14:paraId="62933DA9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>Associative :</w:t>
      </w:r>
      <w:r>
        <w:t xml:space="preserve"> </w:t>
      </w:r>
      <m:oMath>
        <m:r>
          <w:rPr>
            <w:rFonts w:ascii="Cambria Math" w:hAnsi="Cambria Math"/>
          </w:rPr>
          <m:t xml:space="preserve">∀a,b,c∈G,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r>
          <w:rPr>
            <w:rFonts w:ascii="Cambria Math" w:hAnsi="Cambria Math"/>
          </w:rPr>
          <m:t>*c=a*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b*c</m:t>
            </m:r>
          </m:e>
        </m:d>
      </m:oMath>
    </w:p>
    <w:p w14:paraId="45B170FC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neutre noté </w:t>
      </w:r>
      <m:oMath>
        <m:r>
          <w:rPr>
            <w:rFonts w:ascii="Cambria Math" w:hAnsi="Cambria Math"/>
            <w:u w:val="single"/>
          </w:rPr>
          <m:t>e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∃e∈G, ∀g∈G, g*e=e*g=g</m:t>
        </m:r>
      </m:oMath>
    </w:p>
    <w:p w14:paraId="43483F4D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inverse </w:t>
      </w:r>
      <m:oMath>
        <m:r>
          <w:rPr>
            <w:rFonts w:ascii="Cambria Math" w:hAnsi="Cambria Math"/>
            <w:u w:val="single"/>
          </w:rPr>
          <m:t>h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∀g∈G, ∃h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G, g*h=h*g=e</m:t>
        </m:r>
      </m:oMath>
      <w:r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5B138F3" w14:textId="77777777" w:rsidR="007A3D69" w:rsidRDefault="007A3D69" w:rsidP="007A3D69">
      <w:pPr>
        <w:rPr>
          <w:rFonts w:eastAsiaTheme="minorEastAsia"/>
        </w:rPr>
      </w:pPr>
      <w:r>
        <w:rPr>
          <w:rFonts w:eastAsiaTheme="minorEastAsia"/>
        </w:rPr>
        <w:t xml:space="preserve">Un groupe </w:t>
      </w:r>
      <m:oMath>
        <m:r>
          <w:rPr>
            <w:rFonts w:ascii="Cambria Math" w:eastAsiaTheme="minorEastAsia" w:hAnsi="Cambria Math"/>
          </w:rPr>
          <m:t>(G,*)</m:t>
        </m:r>
      </m:oMath>
      <w:r>
        <w:rPr>
          <w:rFonts w:eastAsiaTheme="minorEastAsia"/>
        </w:rPr>
        <w:t xml:space="preserve"> est dit abélien si </w:t>
      </w:r>
      <m:oMath>
        <m:r>
          <w:rPr>
            <w:rFonts w:ascii="Cambria Math" w:eastAsiaTheme="minorEastAsia" w:hAnsi="Cambria Math"/>
          </w:rPr>
          <m:t>∀a,b∈G, a*b=b*a</m:t>
        </m:r>
      </m:oMath>
    </w:p>
    <w:p w14:paraId="3AE2A329" w14:textId="77777777" w:rsidR="007A3D69" w:rsidRDefault="00CD630A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Groupe symétrique :</w:t>
      </w:r>
    </w:p>
    <w:p w14:paraId="239A306A" w14:textId="77777777" w:rsidR="00CD630A" w:rsidRDefault="00CD630A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. On définit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l’ensemble des bijections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dans lui-même :</w:t>
      </w:r>
    </w:p>
    <w:p w14:paraId="6D402826" w14:textId="52F8C725" w:rsidR="00CD630A" w:rsidRPr="00546A15" w:rsidRDefault="00000000" w:rsidP="007A3D6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σ: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σ bijective</m:t>
              </m:r>
            </m:e>
          </m:d>
        </m:oMath>
      </m:oMathPara>
    </w:p>
    <w:p w14:paraId="1BE0FB9E" w14:textId="5CDD566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Un élément de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 permutation.</w:t>
      </w:r>
    </w:p>
    <w:p w14:paraId="4B2277DE" w14:textId="7A0EFC1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E91C1C"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σ(1)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σ(n)</m:t>
                  </m:r>
                </m:e>
              </m:mr>
            </m:m>
          </m:e>
        </m:d>
      </m:oMath>
    </w:p>
    <w:p w14:paraId="26410D4B" w14:textId="6BF87893" w:rsidR="00E91C1C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cardinal </w:t>
      </w:r>
      <m:oMath>
        <m:r>
          <w:rPr>
            <w:rFonts w:ascii="Cambria Math" w:eastAsiaTheme="minorEastAsia" w:hAnsi="Cambria Math"/>
          </w:rPr>
          <m:t>n!</m:t>
        </m:r>
      </m:oMath>
    </w:p>
    <w:p w14:paraId="642F01C0" w14:textId="05587E52" w:rsidR="00685212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Définition du cycle :</w:t>
      </w:r>
    </w:p>
    <w:p w14:paraId="32CC72C8" w14:textId="3CB1B323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Un cycle est 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2 à 2 distincts (avec </w:t>
      </w:r>
      <m:oMath>
        <m:r>
          <w:rPr>
            <w:rFonts w:ascii="Cambria Math" w:eastAsiaTheme="minorEastAsia" w:hAnsi="Cambria Math"/>
          </w:rPr>
          <m:t>2≤p≤n</m:t>
        </m:r>
      </m:oMath>
      <w:r>
        <w:rPr>
          <w:rFonts w:eastAsiaTheme="minorEastAsia"/>
        </w:rPr>
        <w:t xml:space="preserve">) tq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</w:p>
    <w:p w14:paraId="047BAD13" w14:textId="437A69A9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On note aussi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. L’entier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appelé longueur du cycle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52F62878" w14:textId="67A3334B" w:rsidR="00685212" w:rsidRDefault="00184C78" w:rsidP="007A3D6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Commutation des permutations à supports disjoints :</w:t>
      </w:r>
    </w:p>
    <w:p w14:paraId="68F7F4AD" w14:textId="0B726E96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Deux permutations de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à supports disjoints commutent entre elles.</w:t>
      </w:r>
    </w:p>
    <w:p w14:paraId="3B0BC360" w14:textId="02B823BD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cycles à supports disjoints.</w:t>
      </w:r>
    </w:p>
    <w:p w14:paraId="42758BCF" w14:textId="2934226B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transpositions.</w:t>
      </w:r>
    </w:p>
    <w:p w14:paraId="6FF3898D" w14:textId="70FAE7B6" w:rsidR="00184C78" w:rsidRDefault="00184C78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 :</w:t>
      </w:r>
    </w:p>
    <w:p w14:paraId="0933415A" w14:textId="267553BC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un couple tel que </w:t>
      </w:r>
      <m:oMath>
        <m:r>
          <w:rPr>
            <w:rFonts w:ascii="Cambria Math" w:eastAsiaTheme="minorEastAsia" w:hAnsi="Cambria Math"/>
          </w:rPr>
          <m:t>1≤i≤j≤n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 du couple </w:t>
      </w:r>
      <m:oMath>
        <m:r>
          <w:rPr>
            <w:rFonts w:ascii="Cambria Math" w:eastAsiaTheme="minorEastAsia" w:hAnsi="Cambria Math"/>
          </w:rPr>
          <m:t>(i j)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I(σ)</m:t>
        </m:r>
      </m:oMath>
      <w:r>
        <w:rPr>
          <w:rFonts w:eastAsiaTheme="minorEastAsia"/>
        </w:rPr>
        <w:t xml:space="preserve"> le nombre de tels couples sur lesquels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inversion, aussi appelé nombre d’inversions de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3CFBC587" w14:textId="77777777" w:rsidR="0033284F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On nomme </w:t>
      </w:r>
      <w:r>
        <w:rPr>
          <w:rFonts w:eastAsiaTheme="minorEastAsia"/>
          <w:u w:val="single"/>
        </w:rPr>
        <w:t>signature</w:t>
      </w:r>
      <w:r>
        <w:rPr>
          <w:rFonts w:eastAsiaTheme="minorEastAsia"/>
        </w:rPr>
        <w:t xml:space="preserve"> d’une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réel </w:t>
      </w:r>
    </w:p>
    <w:p w14:paraId="4AA78764" w14:textId="640F60A7" w:rsidR="00184C78" w:rsidRPr="0033284F" w:rsidRDefault="00184C78" w:rsidP="007A3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1≤i&lt;j≤n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e>
              </m:d>
            </m:e>
          </m:nary>
        </m:oMath>
      </m:oMathPara>
    </w:p>
    <w:p w14:paraId="1C0A639F" w14:textId="58FAAFEF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d’une transposition :</w:t>
      </w:r>
    </w:p>
    <w:p w14:paraId="389D3755" w14:textId="7B473101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>La signature d’une transposition est toujours -1</w:t>
      </w:r>
    </w:p>
    <w:p w14:paraId="2A080F00" w14:textId="77777777" w:rsidR="0033284F" w:rsidRDefault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4A49C2BD" w14:textId="2925CBCC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Signature de composée :</w:t>
      </w:r>
    </w:p>
    <w:p w14:paraId="5AD49A06" w14:textId="0C2F7C32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σ,τ∈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σ∘τ</m:t>
            </m:r>
          </m:e>
        </m:d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×ε(τ)</m:t>
        </m:r>
      </m:oMath>
    </w:p>
    <w:p w14:paraId="6181AFBA" w14:textId="0FB2CDAA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=ε(σ)</m:t>
        </m:r>
      </m:oMath>
    </w:p>
    <w:p w14:paraId="7EA1DF40" w14:textId="2B4C9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 cycle :</w:t>
      </w:r>
    </w:p>
    <w:p w14:paraId="02B25C73" w14:textId="183CF75C" w:rsidR="0033284F" w:rsidRP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un cycle de longueur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</m:oMath>
    </w:p>
    <w:p w14:paraId="5DF2C767" w14:textId="75EA453C" w:rsidR="0033284F" w:rsidRDefault="0033284F" w:rsidP="007A3D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352E2" wp14:editId="79B5011F">
                <wp:simplePos x="0" y="0"/>
                <wp:positionH relativeFrom="margin">
                  <wp:posOffset>-46892</wp:posOffset>
                </wp:positionH>
                <wp:positionV relativeFrom="paragraph">
                  <wp:posOffset>280328</wp:posOffset>
                </wp:positionV>
                <wp:extent cx="6043246" cy="6302"/>
                <wp:effectExtent l="0" t="0" r="34290" b="32385"/>
                <wp:wrapNone/>
                <wp:docPr id="107176140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6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3EE2B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22.05pt" to="472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A37027" w14:textId="77777777" w:rsidR="0033284F" w:rsidRDefault="0033284F" w:rsidP="007A3D69">
      <w:pPr>
        <w:rPr>
          <w:rFonts w:eastAsiaTheme="minorEastAsia"/>
        </w:rPr>
      </w:pPr>
    </w:p>
    <w:p w14:paraId="37481B2F" w14:textId="5AAEE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Déterminant :</w:t>
      </w:r>
    </w:p>
    <w:p w14:paraId="7F5185A5" w14:textId="1BE66DC3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>
        <w:rPr>
          <w:rFonts w:eastAsiaTheme="minorEastAsia"/>
        </w:rPr>
        <w:t xml:space="preserve"> et on note déterminant de A le scalaire :</w:t>
      </w:r>
    </w:p>
    <w:p w14:paraId="0CC5DA55" w14:textId="07115835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nary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   ∈K</m:t>
          </m:r>
        </m:oMath>
      </m:oMathPara>
    </w:p>
    <w:p w14:paraId="6DF9C988" w14:textId="1F69CE6D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Encore noté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14:paraId="34BD83C6" w14:textId="4AFBB2DD" w:rsidR="0033284F" w:rsidRDefault="0033284F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Déterminant des matrices triangulaires supérieures :</w:t>
      </w:r>
    </w:p>
    <w:p w14:paraId="50AB541F" w14:textId="19F85C94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triangulaire supérieure alors</w:t>
      </w:r>
    </w:p>
    <w:p w14:paraId="0C55842F" w14:textId="2A0E8E8B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e>
          </m:nary>
        </m:oMath>
      </m:oMathPara>
    </w:p>
    <w:p w14:paraId="277F1DB1" w14:textId="42647ACD" w:rsidR="0033284F" w:rsidRDefault="0033284F" w:rsidP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de la transposée :</w:t>
      </w:r>
    </w:p>
    <w:p w14:paraId="44BCF7AF" w14:textId="3A05861B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sPre>
              </m:e>
            </m:d>
          </m:e>
        </m:func>
      </m:oMath>
    </w:p>
    <w:p w14:paraId="3D2C376F" w14:textId="6CB0994C" w:rsidR="000957F7" w:rsidRDefault="000957F7" w:rsidP="0033284F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Multilinéarité</w:t>
      </w:r>
      <w:proofErr w:type="spellEnd"/>
      <w:r>
        <w:rPr>
          <w:rFonts w:eastAsiaTheme="minorEastAsia"/>
          <w:u w:val="single"/>
        </w:rPr>
        <w:t xml:space="preserve"> du déterminant :</w:t>
      </w:r>
    </w:p>
    <w:p w14:paraId="6BB6CA97" w14:textId="01FECB5D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Le déterminant est une forme multilinéaire, </w:t>
      </w:r>
      <w:proofErr w:type="spellStart"/>
      <w:r>
        <w:rPr>
          <w:rFonts w:eastAsiaTheme="minorEastAsia"/>
          <w:i/>
          <w:iCs/>
        </w:rPr>
        <w:t>ie</w:t>
      </w:r>
      <w:proofErr w:type="spellEnd"/>
      <w:r>
        <w:rPr>
          <w:rFonts w:eastAsiaTheme="minorEastAsia"/>
        </w:rPr>
        <w:t xml:space="preserve"> il est linéaire par rapport à chacune de ses colonnes</w:t>
      </w:r>
    </w:p>
    <w:p w14:paraId="0BE21EFF" w14:textId="7073C245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De plus, c’est une forme multilinéaire alternée, </w:t>
      </w:r>
      <w:proofErr w:type="spellStart"/>
      <w:r>
        <w:rPr>
          <w:rFonts w:eastAsiaTheme="minorEastAsia"/>
          <w:i/>
          <w:iCs/>
        </w:rPr>
        <w:t>ie</w:t>
      </w:r>
      <w:proofErr w:type="spellEnd"/>
      <w:r>
        <w:rPr>
          <w:rFonts w:eastAsiaTheme="minorEastAsia"/>
        </w:rPr>
        <w:t xml:space="preserve"> échanger deux colonnes de la matrice résultera en l’opposé du déterminant.</w:t>
      </w:r>
    </w:p>
    <w:p w14:paraId="6590F8BB" w14:textId="6B009964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Matrice avec deux colonnes égales :</w:t>
      </w:r>
    </w:p>
    <w:p w14:paraId="36B3A511" w14:textId="3C2B8FB3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ayant deux colonnes égales,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717A6526" w14:textId="6FE624E8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Colonnes liées :</w:t>
      </w:r>
    </w:p>
    <w:p w14:paraId="3087B970" w14:textId="71FC3DD7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Si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liées,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64E4616E" w14:textId="7777777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Produit des déterminants :</w:t>
      </w:r>
    </w:p>
    <w:p w14:paraId="1DEE52B8" w14:textId="52056408" w:rsidR="000957F7" w:rsidRP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A×B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</w:p>
    <w:p w14:paraId="5C75E7D5" w14:textId="77777777" w:rsidR="000957F7" w:rsidRDefault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1841028A" w14:textId="1AE4F41E" w:rsidR="000957F7" w:rsidRDefault="000957F7" w:rsidP="000957F7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lastRenderedPageBreak/>
        <w:t>Inversibilité</w:t>
      </w:r>
      <w:proofErr w:type="spellEnd"/>
      <w:r>
        <w:rPr>
          <w:rFonts w:eastAsiaTheme="minorEastAsia"/>
          <w:u w:val="single"/>
        </w:rPr>
        <w:t xml:space="preserve"> et déterminants :</w:t>
      </w:r>
    </w:p>
    <w:p w14:paraId="734B1192" w14:textId="3642213A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2C0D7241" w14:textId="06833AAB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(A)</m:t>
                    </m:r>
                  </m:e>
                </m:func>
              </m:den>
            </m:f>
          </m:e>
        </m:func>
      </m:oMath>
    </w:p>
    <w:p w14:paraId="2F5CA13B" w14:textId="66B97FB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Opérations sur les déterminants :</w:t>
      </w:r>
    </w:p>
    <w:p w14:paraId="4FD97133" w14:textId="4ED82C78" w:rsid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>(Les énoncés utilisés pour les colonnes fonctionnent aussi pour les lignes)</w:t>
      </w:r>
    </w:p>
    <w:p w14:paraId="6069DB5C" w14:textId="3963671C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ne modifie pas le déterminant</w:t>
      </w:r>
    </w:p>
    <w:p w14:paraId="401B226C" w14:textId="3DA36B19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multiplie le déterminant par -1</w:t>
      </w:r>
    </w:p>
    <w:p w14:paraId="4809BF6A" w14:textId="7C57E995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multiplie le déterminant par </w:t>
      </w:r>
      <m:oMath>
        <m:r>
          <w:rPr>
            <w:rFonts w:ascii="Cambria Math" w:eastAsiaTheme="minorEastAsia" w:hAnsi="Cambria Math"/>
          </w:rPr>
          <m:t>λ</m:t>
        </m:r>
      </m:oMath>
      <w:r w:rsidR="008047A6">
        <w:rPr>
          <w:rFonts w:eastAsiaTheme="minorEastAsia"/>
        </w:rPr>
        <w:t>.</w:t>
      </w:r>
    </w:p>
    <w:p w14:paraId="16690D12" w14:textId="63169571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colonne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j</m:t>
            </m:r>
          </m:sub>
        </m:sSub>
      </m:oMath>
    </w:p>
    <w:p w14:paraId="3CB28418" w14:textId="27825FAB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mineur de A obtenu en supprimant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4F519836" w14:textId="374D6E3E" w:rsidR="008047A6" w:rsidRP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cofacteur de A,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46A9D2EB" w14:textId="06C4B656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2CF830C0" w14:textId="62E7EE30" w:rsidR="008047A6" w:rsidRP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ligne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L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</w:p>
    <w:p w14:paraId="25BBDCD1" w14:textId="77777777" w:rsidR="008047A6" w:rsidRPr="008047A6" w:rsidRDefault="008047A6" w:rsidP="008047A6">
      <w:pPr>
        <w:rPr>
          <w:rFonts w:eastAsiaTheme="minorEastAsia"/>
          <w:u w:val="single"/>
        </w:rPr>
      </w:pPr>
    </w:p>
    <w:p w14:paraId="37149DD8" w14:textId="4BA24FC3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61F7FDB2" w14:textId="5F7390B5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d’une matrice triangulaire par blocs :</w:t>
      </w:r>
    </w:p>
    <w:p w14:paraId="356EB767" w14:textId="52AC596C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</w:p>
    <w:p w14:paraId="55C744BB" w14:textId="3FA70548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p,n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d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(C)</m:t>
              </m:r>
            </m:e>
          </m:func>
        </m:oMath>
      </m:oMathPara>
    </w:p>
    <w:p w14:paraId="26F71B59" w14:textId="21B74CC5" w:rsidR="008047A6" w:rsidRDefault="008047A6" w:rsidP="008047A6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Comatrice</w:t>
      </w:r>
      <w:proofErr w:type="spellEnd"/>
      <w:r>
        <w:rPr>
          <w:rFonts w:eastAsiaTheme="minorEastAsia"/>
          <w:u w:val="single"/>
        </w:rPr>
        <w:t> :</w:t>
      </w:r>
    </w:p>
    <w:p w14:paraId="412EF2A5" w14:textId="50381183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comatrice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r>
          <m:rPr>
            <m:sty m:val="p"/>
          </m:rPr>
          <w:rPr>
            <w:rFonts w:ascii="Cambria Math" w:eastAsiaTheme="minorEastAsia" w:hAnsi="Cambria Math"/>
          </w:rPr>
          <m:t>Com(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, est la matrice des cofacteurs de </w:t>
      </w:r>
      <m:oMath>
        <m:r>
          <w:rPr>
            <w:rFonts w:ascii="Cambria Math" w:eastAsiaTheme="minorEastAsia" w:hAnsi="Cambria Math"/>
          </w:rPr>
          <m:t>A </m:t>
        </m:r>
      </m:oMath>
      <w:r>
        <w:rPr>
          <w:rFonts w:eastAsiaTheme="minorEastAsia"/>
        </w:rPr>
        <w:t>:</w:t>
      </w:r>
    </w:p>
    <w:p w14:paraId="59C69E39" w14:textId="4BF09657" w:rsidR="008047A6" w:rsidRPr="008047A6" w:rsidRDefault="008047A6" w:rsidP="008047A6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Com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1≤i,j≤n</m:t>
              </m:r>
            </m:sub>
          </m:sSub>
        </m:oMath>
      </m:oMathPara>
    </w:p>
    <w:p w14:paraId="1D6AD7A2" w14:textId="47786A3E" w:rsidR="008047A6" w:rsidRDefault="008047A6" w:rsidP="008047A6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Inverse d’une matrice :</w:t>
      </w:r>
    </w:p>
    <w:p w14:paraId="55D22961" w14:textId="66F7D245" w:rsidR="008047A6" w:rsidRDefault="008047A6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inversible, alors </w:t>
      </w:r>
    </w:p>
    <w:p w14:paraId="61373DFE" w14:textId="4F1FCEAD" w:rsidR="008047A6" w:rsidRPr="0081196D" w:rsidRDefault="00000000" w:rsidP="008047A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(A)</m:t>
                  </m:r>
                </m:e>
              </m:func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Com(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sPre>
        </m:oMath>
      </m:oMathPara>
    </w:p>
    <w:p w14:paraId="08CFF276" w14:textId="37A0F466" w:rsidR="0081196D" w:rsidRDefault="0081196D" w:rsidP="008047A6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t>Détermination d’une matrice :</w:t>
      </w:r>
    </w:p>
    <w:p w14:paraId="2F9AE97E" w14:textId="67062DED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Matrice extraite </w:t>
      </w:r>
    </w:p>
    <w:p w14:paraId="339C7914" w14:textId="41D03BD2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  <w:iCs/>
        </w:rPr>
        <w:t xml:space="preserve">On appelle matrice extraite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toute matrice obtenue à partir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en supprimant un certain nombre de ses lignes &amp; colonnes.</w:t>
      </w:r>
    </w:p>
    <w:p w14:paraId="7CAC91EA" w14:textId="4ACDC736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Rang des matrices extraites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le rang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supérieur au rang de n’importe quelle matrice extraite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2E2FE3D9" w14:textId="3C44D3C5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Lemme :</w:t>
      </w:r>
      <w:r>
        <w:rPr>
          <w:rFonts w:eastAsiaTheme="minorEastAsia"/>
          <w:iCs/>
        </w:rPr>
        <w:t xml:space="preserve"> Mineur et rang</w:t>
      </w:r>
    </w:p>
    <w:p w14:paraId="4F0D3C40" w14:textId="086442C3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Soit </w:t>
      </w:r>
      <m:oMath>
        <m:r>
          <w:rPr>
            <w:rFonts w:ascii="Cambria Math" w:eastAsiaTheme="minorEastAsia" w:hAnsi="Cambria Math"/>
          </w:rPr>
          <m:t>r∈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n,p</m:t>
                    </m:r>
                  </m:e>
                </m:d>
              </m:e>
            </m:func>
          </m:e>
        </m:d>
      </m:oMath>
      <w:r>
        <w:rPr>
          <w:rFonts w:eastAsiaTheme="minorEastAsia"/>
          <w:iCs/>
        </w:rPr>
        <w:t>. On a l’équivalence :</w:t>
      </w:r>
    </w:p>
    <w:p w14:paraId="3F70744F" w14:textId="65CB4A54" w:rsidR="0081196D" w:rsidRPr="0081196D" w:rsidRDefault="0081196D" w:rsidP="008047A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≥r⇔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il existe un mineur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ordre 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de 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qui est non nul</m:t>
          </m:r>
        </m:oMath>
      </m:oMathPara>
    </w:p>
    <w:p w14:paraId="7395EEF3" w14:textId="5BFB0C24" w:rsidR="0081196D" w:rsidRDefault="0081196D" w:rsidP="008047A6">
      <w:pPr>
        <w:rPr>
          <w:rFonts w:eastAsiaTheme="minorEastAsia"/>
        </w:rPr>
      </w:pPr>
      <w:r w:rsidRPr="0081196D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non nulle. Le rang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égal à l’ordre maximal des mineurs non nuls extraits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c’est-à-dire </w:t>
      </w:r>
      <m:oMath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ssi il existe un mineur d’ordre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non nul et tous les mineurs d’ordre supérieur à </w:t>
      </w:r>
      <m:oMath>
        <m:r>
          <w:rPr>
            <w:rFonts w:ascii="Cambria Math" w:eastAsiaTheme="minorEastAsia" w:hAnsi="Cambria Math"/>
          </w:rPr>
          <m:t>r+1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nuls.</w:t>
      </w:r>
    </w:p>
    <w:p w14:paraId="2C362170" w14:textId="77777777" w:rsidR="0081196D" w:rsidRDefault="0081196D" w:rsidP="008047A6">
      <w:pPr>
        <w:rPr>
          <w:rFonts w:eastAsiaTheme="minorEastAsia"/>
        </w:rPr>
      </w:pPr>
    </w:p>
    <w:p w14:paraId="728AB409" w14:textId="6E5B2985" w:rsidR="0081196D" w:rsidRDefault="0081196D" w:rsidP="008047A6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Formules de Cramer</w:t>
      </w:r>
    </w:p>
    <w:p w14:paraId="5E699EEE" w14:textId="57C29944" w:rsidR="0081196D" w:rsidRDefault="0081196D" w:rsidP="008047A6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des scalaires. Le système linéaire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équations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inconnues suivant :</w:t>
      </w:r>
    </w:p>
    <w:p w14:paraId="1822EFFB" w14:textId="28B2F6B5" w:rsidR="0081196D" w:rsidRPr="00A63F64" w:rsidRDefault="0081196D" w:rsidP="008047A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2AF7733" w14:textId="3AEF0109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pour écriture matricielle 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/>
          <w:iCs/>
        </w:rPr>
        <w:t xml:space="preserve"> où </w:t>
      </w:r>
    </w:p>
    <w:p w14:paraId="02A0B151" w14:textId="567678FD" w:rsidR="00A63F64" w:rsidRPr="00A63F64" w:rsidRDefault="00A63F64" w:rsidP="008047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1≤i,j≤n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468E11ED" w14:textId="11A4F213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le système ci-dessus admet une unique solution donnée par :</w:t>
      </w:r>
    </w:p>
    <w:p w14:paraId="6C67C7E9" w14:textId="2267725F" w:rsidR="00A63F64" w:rsidRPr="00A63F64" w:rsidRDefault="00A63F64" w:rsidP="008047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B,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 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 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,n</m:t>
                          </m:r>
                        </m:sub>
                      </m:sSub>
                    </m:e>
                  </m:eqAr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6924D38A" w14:textId="32D3D2E9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sont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4C67D8FE" w14:textId="77777777" w:rsidR="00F15080" w:rsidRDefault="00F15080" w:rsidP="008047A6">
      <w:pPr>
        <w:rPr>
          <w:rFonts w:eastAsiaTheme="minorEastAsia"/>
          <w:iCs/>
        </w:rPr>
      </w:pPr>
    </w:p>
    <w:p w14:paraId="0CAA5D86" w14:textId="1C72A318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  <w:u w:val="single"/>
        </w:rPr>
        <w:t xml:space="preserve">Déterminant d’un endomorphisme </w:t>
      </w:r>
    </w:p>
    <w:p w14:paraId="70420B1A" w14:textId="1D6769B7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Dans toute cette parte,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1D225CA8" w14:textId="248E2542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Lemme/définition :</w:t>
      </w:r>
      <w:r>
        <w:rPr>
          <w:rFonts w:eastAsiaTheme="minorEastAsia"/>
          <w:iCs/>
        </w:rPr>
        <w:t xml:space="preserve"> (Déterminant d’un endomorphisme)</w:t>
      </w:r>
    </w:p>
    <w:p w14:paraId="7EC07727" w14:textId="1D2153BF" w:rsidR="00F15080" w:rsidRDefault="00F15080" w:rsidP="008047A6">
      <w:pPr>
        <w:rPr>
          <w:rFonts w:eastAsiaTheme="minorEastAsia"/>
        </w:rPr>
      </w:pPr>
      <w:r>
        <w:rPr>
          <w:rFonts w:eastAsiaTheme="minorEastAsia"/>
          <w:iCs/>
        </w:rPr>
        <w:t xml:space="preserve">Soient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B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deux bases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ont le même déterminant. Ce déterminant est le déterminant de l’endomorphisme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6AA8CF6" w14:textId="30E11321" w:rsidR="00F15080" w:rsidRDefault="00F15080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Premières propriétés sur les déterminants d’endomorphismes :</w:t>
      </w:r>
    </w:p>
    <w:p w14:paraId="4D1FA537" w14:textId="739EC5C4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3AC37969" w14:textId="3FBEFB22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 w:rsidRPr="00F15080">
        <w:rPr>
          <w:rFonts w:eastAsiaTheme="minorEastAsia"/>
        </w:rPr>
        <w:t>, avec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6BB5E73F" w14:textId="27848253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(u)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(v)</m:t>
            </m:r>
          </m:e>
        </m:func>
      </m:oMath>
    </w:p>
    <w:p w14:paraId="2E4C0F82" w14:textId="6CE355C1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bijectif,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den>
        </m:f>
      </m:oMath>
    </w:p>
    <w:p w14:paraId="40BD9E82" w14:textId="786C94A1" w:rsidR="00F15080" w:rsidRDefault="00F15080" w:rsidP="00F15080">
      <w:pPr>
        <w:rPr>
          <w:rFonts w:eastAsiaTheme="minorEastAsia"/>
          <w:b/>
          <w:bCs/>
        </w:rPr>
      </w:pPr>
      <w:r w:rsidRPr="00F15080">
        <w:rPr>
          <w:rFonts w:eastAsiaTheme="minorEastAsia"/>
          <w:b/>
          <w:bCs/>
        </w:rPr>
        <w:lastRenderedPageBreak/>
        <w:t>Déterminant</w:t>
      </w:r>
      <w:r>
        <w:rPr>
          <w:rFonts w:eastAsiaTheme="minorEastAsia"/>
          <w:b/>
          <w:bCs/>
        </w:rPr>
        <w:t xml:space="preserve"> d’une famille de vecteurs</w:t>
      </w:r>
    </w:p>
    <w:p w14:paraId="1E079F1E" w14:textId="6ADAC249" w:rsidR="00F15080" w:rsidRDefault="00F15080" w:rsidP="00F15080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60932">
        <w:rPr>
          <w:rFonts w:eastAsiaTheme="minorEastAsia"/>
        </w:rPr>
        <w:t xml:space="preserve"> muni d’une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60932">
        <w:rPr>
          <w:rFonts w:eastAsiaTheme="minorEastAsia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560932">
        <w:rPr>
          <w:rFonts w:eastAsiaTheme="minorEastAsia"/>
        </w:rPr>
        <w:t>.</w:t>
      </w:r>
    </w:p>
    <w:p w14:paraId="2454BA18" w14:textId="6854A10D" w:rsidR="00560932" w:rsidRPr="00560932" w:rsidRDefault="00560932" w:rsidP="00F1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6E8D90F0" w14:textId="01B66773" w:rsidR="00560932" w:rsidRDefault="00560932" w:rsidP="00F15080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qui est une matrice </w:t>
      </w:r>
      <w:proofErr w:type="spellStart"/>
      <w:r>
        <w:rPr>
          <w:rFonts w:eastAsiaTheme="minorEastAsia"/>
        </w:rPr>
        <w:t>coonne</w:t>
      </w:r>
      <w:proofErr w:type="spellEnd"/>
      <w:r>
        <w:rPr>
          <w:rFonts w:eastAsiaTheme="minorEastAsia"/>
        </w:rPr>
        <w:t>.</w:t>
      </w:r>
    </w:p>
    <w:p w14:paraId="3FACD891" w14:textId="6C1049D9" w:rsidR="00560932" w:rsidRPr="00560932" w:rsidRDefault="00560932" w:rsidP="00F1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⋱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58857833" w14:textId="7303B3A2" w:rsidR="00560932" w:rsidRPr="00560932" w:rsidRDefault="00560932" w:rsidP="00F1508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déterminants dans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le scalaire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</w:p>
    <w:p w14:paraId="4BD73870" w14:textId="26BA753F" w:rsidR="00560932" w:rsidRDefault="00560932" w:rsidP="00F15080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</w:t>
      </w:r>
      <w:r w:rsidR="006A338C">
        <w:rPr>
          <w:rFonts w:eastAsiaTheme="minorEastAsia"/>
        </w:rPr>
        <w:t>Relation base/déterminant)</w:t>
      </w:r>
    </w:p>
    <w:p w14:paraId="1C973529" w14:textId="0A9AE8DE" w:rsidR="006A338C" w:rsidRDefault="006A338C" w:rsidP="00F15080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Les 2 assertions suivantes sont équivalentes :</w:t>
      </w:r>
    </w:p>
    <w:p w14:paraId="6C289E4A" w14:textId="4EF8CEFD" w:rsidR="006A338C" w:rsidRDefault="006A338C" w:rsidP="006A338C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88668BA" w14:textId="0CED8B96" w:rsidR="006A338C" w:rsidRDefault="006A338C" w:rsidP="006A338C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14:paraId="6B806F7D" w14:textId="04CF9447" w:rsidR="006A338C" w:rsidRDefault="006A338C" w:rsidP="006A338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EA9617E" w14:textId="67D57E57" w:rsidR="006A338C" w:rsidRPr="006A338C" w:rsidRDefault="006A338C" w:rsidP="006A338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27F2C206" w14:textId="77777777" w:rsidR="006A338C" w:rsidRPr="006A338C" w:rsidRDefault="006A338C" w:rsidP="006A338C">
      <w:pPr>
        <w:rPr>
          <w:rFonts w:eastAsiaTheme="minorEastAsia"/>
        </w:rPr>
      </w:pPr>
    </w:p>
    <w:sectPr w:rsidR="006A338C" w:rsidRPr="006A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59C"/>
    <w:multiLevelType w:val="hybridMultilevel"/>
    <w:tmpl w:val="A8D447AE"/>
    <w:lvl w:ilvl="0" w:tplc="F36885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6155"/>
    <w:multiLevelType w:val="hybridMultilevel"/>
    <w:tmpl w:val="AD8AFEEA"/>
    <w:lvl w:ilvl="0" w:tplc="BA6EA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2318"/>
    <w:multiLevelType w:val="hybridMultilevel"/>
    <w:tmpl w:val="A2C040B0"/>
    <w:lvl w:ilvl="0" w:tplc="70748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6351"/>
    <w:multiLevelType w:val="hybridMultilevel"/>
    <w:tmpl w:val="E73EEB50"/>
    <w:lvl w:ilvl="0" w:tplc="175EEA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74">
    <w:abstractNumId w:val="2"/>
  </w:num>
  <w:num w:numId="2" w16cid:durableId="457992435">
    <w:abstractNumId w:val="3"/>
  </w:num>
  <w:num w:numId="3" w16cid:durableId="884371970">
    <w:abstractNumId w:val="0"/>
  </w:num>
  <w:num w:numId="4" w16cid:durableId="7895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9223C"/>
    <w:rsid w:val="000957F7"/>
    <w:rsid w:val="00184C78"/>
    <w:rsid w:val="002F4044"/>
    <w:rsid w:val="0033284F"/>
    <w:rsid w:val="00546A15"/>
    <w:rsid w:val="00560932"/>
    <w:rsid w:val="005A2159"/>
    <w:rsid w:val="00685212"/>
    <w:rsid w:val="006A338C"/>
    <w:rsid w:val="007A3D69"/>
    <w:rsid w:val="008047A6"/>
    <w:rsid w:val="0081196D"/>
    <w:rsid w:val="00A63F64"/>
    <w:rsid w:val="00CD630A"/>
    <w:rsid w:val="00E91C1C"/>
    <w:rsid w:val="00F15080"/>
    <w:rsid w:val="00F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EA07"/>
  <w15:chartTrackingRefBased/>
  <w15:docId w15:val="{9C0205E0-D312-4F4A-9BF1-8C4A9DF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3D69"/>
    <w:rPr>
      <w:color w:val="808080"/>
    </w:rPr>
  </w:style>
  <w:style w:type="paragraph" w:styleId="Paragraphedeliste">
    <w:name w:val="List Paragraph"/>
    <w:basedOn w:val="Normal"/>
    <w:uiPriority w:val="34"/>
    <w:qFormat/>
    <w:rsid w:val="007A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2023-09-17T10:20:00Z</dcterms:created>
  <dcterms:modified xsi:type="dcterms:W3CDTF">2023-09-30T19:26:00Z</dcterms:modified>
</cp:coreProperties>
</file>