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2519" w14:textId="2CBA6691" w:rsidR="0009223C" w:rsidRDefault="007A3D69" w:rsidP="007A3D69">
      <w:pPr>
        <w:jc w:val="center"/>
        <w:rPr>
          <w:sz w:val="30"/>
          <w:szCs w:val="30"/>
        </w:rPr>
      </w:pPr>
      <w:r>
        <w:rPr>
          <w:sz w:val="30"/>
          <w:szCs w:val="30"/>
        </w:rPr>
        <w:t>Théorèmes Algèbre</w:t>
      </w:r>
    </w:p>
    <w:p w14:paraId="09062400" w14:textId="77777777" w:rsidR="007A3D69" w:rsidRDefault="007A3D69" w:rsidP="007A3D69">
      <w:r>
        <w:rPr>
          <w:u w:val="single"/>
        </w:rPr>
        <w:t>Groupe :</w:t>
      </w:r>
    </w:p>
    <w:p w14:paraId="4B9FC77A" w14:textId="77777777" w:rsidR="007A3D69" w:rsidRDefault="007A3D69" w:rsidP="007A3D69">
      <w:pPr>
        <w:rPr>
          <w:rFonts w:eastAsiaTheme="minorEastAsia"/>
        </w:rPr>
      </w:pPr>
      <w:r>
        <w:t xml:space="preserve">Un groupe est un couple </w:t>
      </w:r>
      <m:oMath>
        <m:r>
          <w:rPr>
            <w:rFonts w:ascii="Cambria Math" w:hAnsi="Cambria Math"/>
          </w:rPr>
          <m:t>(G,*)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et un ensemble </w:t>
      </w:r>
      <m:oMath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muni d’une loi de composition interne </w:t>
      </w:r>
    </w:p>
    <w:p w14:paraId="4BB464FE" w14:textId="77777777" w:rsidR="007A3D69" w:rsidRDefault="007A3D69" w:rsidP="007A3D69">
      <w:pPr>
        <w:rPr>
          <w:rFonts w:eastAsiaTheme="minorEastAsia"/>
        </w:rPr>
      </w:pPr>
      <m:oMath>
        <m:r>
          <w:rPr>
            <w:rFonts w:ascii="Cambria Math" w:hAnsi="Cambria Math"/>
          </w:rPr>
          <m:t>*:G×G→G</m:t>
        </m:r>
      </m:oMath>
      <w:r>
        <w:rPr>
          <w:rFonts w:eastAsiaTheme="minorEastAsia"/>
        </w:rPr>
        <w:t xml:space="preserve"> qui est :</w:t>
      </w:r>
    </w:p>
    <w:p w14:paraId="62933DA9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>Associative :</w:t>
      </w:r>
      <w:r>
        <w:t xml:space="preserve"> </w:t>
      </w:r>
      <m:oMath>
        <m:r>
          <w:rPr>
            <w:rFonts w:ascii="Cambria Math" w:hAnsi="Cambria Math"/>
          </w:rPr>
          <m:t xml:space="preserve">∀a,b,c∈G,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a*b</m:t>
            </m:r>
          </m:e>
        </m:d>
        <m:r>
          <w:rPr>
            <w:rFonts w:ascii="Cambria Math" w:hAnsi="Cambria Math"/>
          </w:rPr>
          <m:t>*c=a*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b*c</m:t>
            </m:r>
          </m:e>
        </m:d>
      </m:oMath>
    </w:p>
    <w:p w14:paraId="45B170FC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 xml:space="preserve">Existence d’un neutre noté </w:t>
      </w:r>
      <m:oMath>
        <m:r>
          <w:rPr>
            <w:rFonts w:ascii="Cambria Math" w:hAnsi="Cambria Math"/>
            <w:u w:val="single"/>
          </w:rPr>
          <m:t>e </m:t>
        </m:r>
      </m:oMath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∃e∈G, ∀g∈G, g*e=e*g=g</m:t>
        </m:r>
      </m:oMath>
    </w:p>
    <w:p w14:paraId="43483F4D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 xml:space="preserve">Existence d’un inverse </w:t>
      </w:r>
      <m:oMath>
        <m:r>
          <w:rPr>
            <w:rFonts w:ascii="Cambria Math" w:hAnsi="Cambria Math"/>
            <w:u w:val="single"/>
          </w:rPr>
          <m:t>h </m:t>
        </m:r>
      </m:oMath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∀g∈G, ∃h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G, g*h=h*g=e</m:t>
        </m:r>
      </m:oMath>
      <w:r>
        <w:rPr>
          <w:rFonts w:eastAsiaTheme="minorEastAsia"/>
        </w:rPr>
        <w:t xml:space="preserve">, on note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5B138F3" w14:textId="77777777" w:rsidR="007A3D69" w:rsidRDefault="007A3D69" w:rsidP="007A3D69">
      <w:pPr>
        <w:rPr>
          <w:rFonts w:eastAsiaTheme="minorEastAsia"/>
        </w:rPr>
      </w:pPr>
      <w:r>
        <w:rPr>
          <w:rFonts w:eastAsiaTheme="minorEastAsia"/>
        </w:rPr>
        <w:t xml:space="preserve">Un groupe </w:t>
      </w:r>
      <m:oMath>
        <m:r>
          <w:rPr>
            <w:rFonts w:ascii="Cambria Math" w:eastAsiaTheme="minorEastAsia" w:hAnsi="Cambria Math"/>
          </w:rPr>
          <m:t>(G,*)</m:t>
        </m:r>
      </m:oMath>
      <w:r>
        <w:rPr>
          <w:rFonts w:eastAsiaTheme="minorEastAsia"/>
        </w:rPr>
        <w:t xml:space="preserve"> est dit abélien si </w:t>
      </w:r>
      <m:oMath>
        <m:r>
          <w:rPr>
            <w:rFonts w:ascii="Cambria Math" w:eastAsiaTheme="minorEastAsia" w:hAnsi="Cambria Math"/>
          </w:rPr>
          <m:t>∀a,b∈G, a*b=b*a</m:t>
        </m:r>
      </m:oMath>
    </w:p>
    <w:p w14:paraId="3AE2A329" w14:textId="77777777" w:rsidR="007A3D69" w:rsidRDefault="00CD630A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Groupe symétrique :</w:t>
      </w:r>
    </w:p>
    <w:p w14:paraId="239A306A" w14:textId="77777777" w:rsidR="00CD630A" w:rsidRDefault="00CD630A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. On définit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l’ensemble des bijections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 dans lui-même :</w:t>
      </w:r>
    </w:p>
    <w:p w14:paraId="6D402826" w14:textId="52F8C725" w:rsidR="00CD630A" w:rsidRPr="00546A15" w:rsidRDefault="00000000" w:rsidP="007A3D6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σ: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σ bijective</m:t>
              </m:r>
            </m:e>
          </m:d>
        </m:oMath>
      </m:oMathPara>
    </w:p>
    <w:p w14:paraId="1BE0FB9E" w14:textId="5CDD566E" w:rsidR="00546A15" w:rsidRDefault="00546A15" w:rsidP="007A3D69">
      <w:pPr>
        <w:rPr>
          <w:rFonts w:eastAsiaTheme="minorEastAsia"/>
        </w:rPr>
      </w:pPr>
      <w:r>
        <w:rPr>
          <w:rFonts w:eastAsiaTheme="minorEastAsia"/>
        </w:rPr>
        <w:t xml:space="preserve">Un élément de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 permutation.</w:t>
      </w:r>
    </w:p>
    <w:p w14:paraId="4B2277DE" w14:textId="7A0EFC1E" w:rsidR="00546A15" w:rsidRDefault="00546A15" w:rsidP="007A3D69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E91C1C">
        <w:rPr>
          <w:rFonts w:eastAsiaTheme="minorEastAsia"/>
        </w:rPr>
        <w:t xml:space="preserve">, on note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σ(1)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σ(n)</m:t>
                  </m:r>
                </m:e>
              </m:mr>
            </m:m>
          </m:e>
        </m:d>
      </m:oMath>
    </w:p>
    <w:p w14:paraId="26410D4B" w14:textId="6BF87893" w:rsidR="00E91C1C" w:rsidRDefault="00685212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de cardinal </w:t>
      </w:r>
      <m:oMath>
        <m:r>
          <w:rPr>
            <w:rFonts w:ascii="Cambria Math" w:eastAsiaTheme="minorEastAsia" w:hAnsi="Cambria Math"/>
          </w:rPr>
          <m:t>n!</m:t>
        </m:r>
      </m:oMath>
    </w:p>
    <w:p w14:paraId="642F01C0" w14:textId="05587E52" w:rsidR="00685212" w:rsidRDefault="00685212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Définition du cycle :</w:t>
      </w:r>
    </w:p>
    <w:p w14:paraId="32CC72C8" w14:textId="3CB1B323" w:rsidR="00685212" w:rsidRDefault="00685212" w:rsidP="007A3D69">
      <w:pPr>
        <w:rPr>
          <w:rFonts w:eastAsiaTheme="minorEastAsia"/>
        </w:rPr>
      </w:pPr>
      <w:r>
        <w:rPr>
          <w:rFonts w:eastAsiaTheme="minorEastAsia"/>
        </w:rPr>
        <w:t xml:space="preserve">Un cycle est une permutation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 2 à 2 distincts (avec </w:t>
      </w:r>
      <m:oMath>
        <m:r>
          <w:rPr>
            <w:rFonts w:ascii="Cambria Math" w:eastAsiaTheme="minorEastAsia" w:hAnsi="Cambria Math"/>
          </w:rPr>
          <m:t>2≤p≤n</m:t>
        </m:r>
      </m:oMath>
      <w:r>
        <w:rPr>
          <w:rFonts w:eastAsiaTheme="minorEastAsia"/>
        </w:rPr>
        <w:t xml:space="preserve">) tq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 …,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;…;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=i</m:t>
        </m:r>
      </m:oMath>
    </w:p>
    <w:p w14:paraId="047BAD13" w14:textId="437A69A9" w:rsidR="00685212" w:rsidRDefault="00685212" w:rsidP="007A3D69">
      <w:pPr>
        <w:rPr>
          <w:rFonts w:eastAsiaTheme="minorEastAsia"/>
        </w:rPr>
      </w:pPr>
      <w:r>
        <w:rPr>
          <w:rFonts w:eastAsiaTheme="minorEastAsia"/>
        </w:rPr>
        <w:t xml:space="preserve">On note aussi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. L’entier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appelé longueur du cycle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52F62878" w14:textId="67A3334B" w:rsidR="00685212" w:rsidRDefault="00184C78" w:rsidP="007A3D6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Commutation des permutations à supports disjoints :</w:t>
      </w:r>
    </w:p>
    <w:p w14:paraId="68F7F4AD" w14:textId="0B726E96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Deux permutations de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à supports disjoints commutent entre elles.</w:t>
      </w:r>
    </w:p>
    <w:p w14:paraId="3B0BC360" w14:textId="02B823BD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>Toute permutation se décompose en un produit de cycles à supports disjoints.</w:t>
      </w:r>
    </w:p>
    <w:p w14:paraId="42758BCF" w14:textId="2934226B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>Toute permutation se décompose en un produit de transpositions.</w:t>
      </w:r>
    </w:p>
    <w:p w14:paraId="6FF3898D" w14:textId="70FAE7B6" w:rsidR="00184C78" w:rsidRDefault="00184C78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 :</w:t>
      </w:r>
    </w:p>
    <w:p w14:paraId="0933415A" w14:textId="267553BC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un couple tel que </w:t>
      </w:r>
      <m:oMath>
        <m:r>
          <w:rPr>
            <w:rFonts w:ascii="Cambria Math" w:eastAsiaTheme="minorEastAsia" w:hAnsi="Cambria Math"/>
          </w:rPr>
          <m:t>1≤i≤j≤n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réalise une inversion du couple </w:t>
      </w:r>
      <m:oMath>
        <m:r>
          <w:rPr>
            <w:rFonts w:ascii="Cambria Math" w:eastAsiaTheme="minorEastAsia" w:hAnsi="Cambria Math"/>
          </w:rPr>
          <m:t>(i j)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I(σ)</m:t>
        </m:r>
      </m:oMath>
      <w:r>
        <w:rPr>
          <w:rFonts w:eastAsiaTheme="minorEastAsia"/>
        </w:rPr>
        <w:t xml:space="preserve"> le nombre de tels couples sur lesquels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réalise une inversion, aussi appelé nombre d’inversions de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3CFBC587" w14:textId="77777777" w:rsidR="0033284F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On nomme </w:t>
      </w:r>
      <w:r>
        <w:rPr>
          <w:rFonts w:eastAsiaTheme="minorEastAsia"/>
          <w:u w:val="single"/>
        </w:rPr>
        <w:t>signature</w:t>
      </w:r>
      <w:r>
        <w:rPr>
          <w:rFonts w:eastAsiaTheme="minorEastAsia"/>
        </w:rPr>
        <w:t xml:space="preserve"> d’une permutation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le réel </w:t>
      </w:r>
    </w:p>
    <w:p w14:paraId="4AA78764" w14:textId="640F60A7" w:rsidR="00184C78" w:rsidRPr="0033284F" w:rsidRDefault="00184C78" w:rsidP="007A3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1≤i&lt;j≤n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</m:e>
              </m:d>
            </m:e>
          </m:nary>
        </m:oMath>
      </m:oMathPara>
    </w:p>
    <w:p w14:paraId="1C0A639F" w14:textId="58FAAFEF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 d’une transposition :</w:t>
      </w:r>
    </w:p>
    <w:p w14:paraId="389D3755" w14:textId="7B473101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>La signature d’une transposition est toujours -1</w:t>
      </w:r>
    </w:p>
    <w:p w14:paraId="2A080F00" w14:textId="77777777" w:rsidR="0033284F" w:rsidRDefault="0033284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4A49C2BD" w14:textId="2925CBCC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Signature de composée :</w:t>
      </w:r>
    </w:p>
    <w:p w14:paraId="5AD49A06" w14:textId="0C2F7C32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σ,τ∈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σ∘τ</m:t>
            </m:r>
          </m:e>
        </m:d>
        <m:r>
          <w:rPr>
            <w:rFonts w:ascii="Cambria Math" w:eastAsiaTheme="minorEastAsia" w:hAnsi="Cambria Math"/>
          </w:rPr>
          <m:t>=ε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×ε(τ)</m:t>
        </m:r>
      </m:oMath>
    </w:p>
    <w:p w14:paraId="6181AFBA" w14:textId="0FB2CDAA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=ε(σ)</m:t>
        </m:r>
      </m:oMath>
    </w:p>
    <w:p w14:paraId="7EA1DF40" w14:textId="2B4C9158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 d’un cycle :</w:t>
      </w:r>
    </w:p>
    <w:p w14:paraId="02B25C73" w14:textId="183CF75C" w:rsidR="0033284F" w:rsidRP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un cycle de longueur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</m:oMath>
    </w:p>
    <w:p w14:paraId="5DF2C767" w14:textId="75EA453C" w:rsidR="0033284F" w:rsidRDefault="0033284F" w:rsidP="007A3D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352E2" wp14:editId="79B5011F">
                <wp:simplePos x="0" y="0"/>
                <wp:positionH relativeFrom="margin">
                  <wp:posOffset>-46892</wp:posOffset>
                </wp:positionH>
                <wp:positionV relativeFrom="paragraph">
                  <wp:posOffset>280328</wp:posOffset>
                </wp:positionV>
                <wp:extent cx="6043246" cy="6302"/>
                <wp:effectExtent l="0" t="0" r="34290" b="32385"/>
                <wp:wrapNone/>
                <wp:docPr id="107176140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246" cy="6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3EE2B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pt,22.05pt" to="472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A37027" w14:textId="77777777" w:rsidR="0033284F" w:rsidRDefault="0033284F" w:rsidP="007A3D69">
      <w:pPr>
        <w:rPr>
          <w:rFonts w:eastAsiaTheme="minorEastAsia"/>
        </w:rPr>
      </w:pPr>
    </w:p>
    <w:p w14:paraId="37481B2F" w14:textId="5AAEE158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Déterminant :</w:t>
      </w:r>
    </w:p>
    <w:p w14:paraId="7F5185A5" w14:textId="1BE66DC3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</m:oMath>
      <w:r>
        <w:rPr>
          <w:rFonts w:eastAsiaTheme="minorEastAsia"/>
        </w:rPr>
        <w:t xml:space="preserve"> et on note déterminant de A le scalaire :</w:t>
      </w:r>
    </w:p>
    <w:p w14:paraId="0CC5DA55" w14:textId="07115835" w:rsidR="0033284F" w:rsidRPr="0033284F" w:rsidRDefault="00000000" w:rsidP="003328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nary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   ∈K</m:t>
          </m:r>
        </m:oMath>
      </m:oMathPara>
    </w:p>
    <w:p w14:paraId="6DF9C988" w14:textId="1F69CE6D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Encore noté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14:paraId="34BD83C6" w14:textId="4AFBB2DD" w:rsidR="0033284F" w:rsidRDefault="0033284F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Déterminant des matrices triangulaires supérieures :</w:t>
      </w:r>
    </w:p>
    <w:p w14:paraId="50AB541F" w14:textId="19F85C94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triangulaire supérieure alors</w:t>
      </w:r>
    </w:p>
    <w:p w14:paraId="0C55842F" w14:textId="2A0E8E8B" w:rsidR="0033284F" w:rsidRPr="0033284F" w:rsidRDefault="00000000" w:rsidP="003328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e>
          </m:nary>
        </m:oMath>
      </m:oMathPara>
    </w:p>
    <w:p w14:paraId="277F1DB1" w14:textId="42647ACD" w:rsidR="0033284F" w:rsidRDefault="0033284F" w:rsidP="0033284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Déterminant de la transposée :</w:t>
      </w:r>
    </w:p>
    <w:p w14:paraId="44BCF7AF" w14:textId="3A05861B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sPre>
              </m:e>
            </m:d>
          </m:e>
        </m:func>
      </m:oMath>
    </w:p>
    <w:p w14:paraId="3D2C376F" w14:textId="6CB0994C" w:rsidR="000957F7" w:rsidRDefault="000957F7" w:rsidP="0033284F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Multilinéarité</w:t>
      </w:r>
      <w:proofErr w:type="spellEnd"/>
      <w:r>
        <w:rPr>
          <w:rFonts w:eastAsiaTheme="minorEastAsia"/>
          <w:u w:val="single"/>
        </w:rPr>
        <w:t xml:space="preserve"> du déterminant :</w:t>
      </w:r>
    </w:p>
    <w:p w14:paraId="6BB6CA97" w14:textId="01FECB5D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Le déterminant est une forme multilinéaire, </w:t>
      </w:r>
      <w:proofErr w:type="spellStart"/>
      <w:r>
        <w:rPr>
          <w:rFonts w:eastAsiaTheme="minorEastAsia"/>
          <w:i/>
          <w:iCs/>
        </w:rPr>
        <w:t>ie</w:t>
      </w:r>
      <w:proofErr w:type="spellEnd"/>
      <w:r>
        <w:rPr>
          <w:rFonts w:eastAsiaTheme="minorEastAsia"/>
        </w:rPr>
        <w:t xml:space="preserve"> il est linéaire par rapport à chacune de ses colonnes</w:t>
      </w:r>
    </w:p>
    <w:p w14:paraId="0BE21EFF" w14:textId="7073C245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De plus, c’est une forme multilinéaire alternée, </w:t>
      </w:r>
      <w:proofErr w:type="spellStart"/>
      <w:r>
        <w:rPr>
          <w:rFonts w:eastAsiaTheme="minorEastAsia"/>
          <w:i/>
          <w:iCs/>
        </w:rPr>
        <w:t>ie</w:t>
      </w:r>
      <w:proofErr w:type="spellEnd"/>
      <w:r>
        <w:rPr>
          <w:rFonts w:eastAsiaTheme="minorEastAsia"/>
        </w:rPr>
        <w:t xml:space="preserve"> échanger deux colonnes de la matrice résultera en l’opposé du déterminant.</w:t>
      </w:r>
    </w:p>
    <w:p w14:paraId="6590F8BB" w14:textId="6B009964" w:rsidR="000957F7" w:rsidRDefault="000957F7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Matrice avec deux colonnes égales :</w:t>
      </w:r>
    </w:p>
    <w:p w14:paraId="36B3A511" w14:textId="3C2B8FB3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ayant deux colonnes égales,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717A6526" w14:textId="6FE624E8" w:rsidR="000957F7" w:rsidRDefault="000957F7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Colonnes liées :</w:t>
      </w:r>
    </w:p>
    <w:p w14:paraId="3087B970" w14:textId="71FC3DD7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. Si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liées,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64E4616E" w14:textId="77777777" w:rsidR="000957F7" w:rsidRDefault="000957F7" w:rsidP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Produit des déterminants :</w:t>
      </w:r>
    </w:p>
    <w:p w14:paraId="1DEE52B8" w14:textId="52056408" w:rsidR="000957F7" w:rsidRPr="000957F7" w:rsidRDefault="000957F7" w:rsidP="000957F7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A×B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</w:p>
    <w:p w14:paraId="5C75E7D5" w14:textId="77777777" w:rsidR="000957F7" w:rsidRDefault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1841028A" w14:textId="1AE4F41E" w:rsidR="000957F7" w:rsidRDefault="000957F7" w:rsidP="000957F7">
      <w:pPr>
        <w:rPr>
          <w:rFonts w:eastAsiaTheme="minorEastAsia"/>
          <w:u w:val="single"/>
        </w:rPr>
      </w:pPr>
      <w:proofErr w:type="spellStart"/>
      <w:r>
        <w:rPr>
          <w:rFonts w:eastAsiaTheme="minorEastAsia"/>
          <w:u w:val="single"/>
        </w:rPr>
        <w:lastRenderedPageBreak/>
        <w:t>Inversibilité</w:t>
      </w:r>
      <w:proofErr w:type="spellEnd"/>
      <w:r>
        <w:rPr>
          <w:rFonts w:eastAsiaTheme="minorEastAsia"/>
          <w:u w:val="single"/>
        </w:rPr>
        <w:t xml:space="preserve"> et déterminants :</w:t>
      </w:r>
    </w:p>
    <w:p w14:paraId="734B1192" w14:textId="3642213A" w:rsidR="000957F7" w:rsidRPr="000957F7" w:rsidRDefault="000957F7" w:rsidP="000957F7">
      <w:pPr>
        <w:pStyle w:val="Paragraphedeliste"/>
        <w:numPr>
          <w:ilvl w:val="0"/>
          <w:numId w:val="2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 </w:t>
      </w:r>
      <m:oMath>
        <m:r>
          <w:rPr>
            <w:rFonts w:ascii="Cambria Math" w:eastAsiaTheme="minorEastAsia" w:hAnsi="Cambria Math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</w:p>
    <w:p w14:paraId="2C0D7241" w14:textId="06833AAB" w:rsidR="000957F7" w:rsidRPr="000957F7" w:rsidRDefault="000957F7" w:rsidP="000957F7">
      <w:pPr>
        <w:pStyle w:val="Paragraphedeliste"/>
        <w:numPr>
          <w:ilvl w:val="0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</w:t>
      </w:r>
      <w:proofErr w:type="spellStart"/>
      <w:r>
        <w:rPr>
          <w:rFonts w:eastAsiaTheme="minorEastAsia"/>
        </w:rPr>
        <w:t>ersible</w:t>
      </w:r>
      <w:proofErr w:type="spellEnd"/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(A)</m:t>
                    </m:r>
                  </m:e>
                </m:func>
              </m:den>
            </m:f>
          </m:e>
        </m:func>
      </m:oMath>
    </w:p>
    <w:p w14:paraId="2F5CA13B" w14:textId="66B97FB7" w:rsidR="000957F7" w:rsidRDefault="000957F7" w:rsidP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Opérations sur les déterminants :</w:t>
      </w:r>
    </w:p>
    <w:p w14:paraId="4FD97133" w14:textId="4ED82C78" w:rsidR="000957F7" w:rsidRDefault="000957F7" w:rsidP="000957F7">
      <w:pPr>
        <w:rPr>
          <w:rFonts w:eastAsiaTheme="minorEastAsia"/>
        </w:rPr>
      </w:pPr>
      <w:r>
        <w:rPr>
          <w:rFonts w:eastAsiaTheme="minorEastAsia"/>
        </w:rPr>
        <w:t>(Les énoncés utilisés pour les colonnes fonctionnent aussi pour les lignes)</w:t>
      </w:r>
    </w:p>
    <w:p w14:paraId="6069DB5C" w14:textId="3963671C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ne modifie pas le déterminant</w:t>
      </w:r>
    </w:p>
    <w:p w14:paraId="401B226C" w14:textId="3DA36B19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multiplie le déterminant par -1</w:t>
      </w:r>
    </w:p>
    <w:p w14:paraId="4809BF6A" w14:textId="7C57E995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multiplie le déterminant par </w:t>
      </w:r>
      <m:oMath>
        <m:r>
          <w:rPr>
            <w:rFonts w:ascii="Cambria Math" w:eastAsiaTheme="minorEastAsia" w:hAnsi="Cambria Math"/>
          </w:rPr>
          <m:t>λ</m:t>
        </m:r>
      </m:oMath>
      <w:r w:rsidR="008047A6">
        <w:rPr>
          <w:rFonts w:eastAsiaTheme="minorEastAsia"/>
        </w:rPr>
        <w:t>.</w:t>
      </w:r>
    </w:p>
    <w:p w14:paraId="16690D12" w14:textId="63169571" w:rsid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Développement de </w:t>
      </w:r>
      <m:oMath>
        <m:r>
          <w:rPr>
            <w:rFonts w:ascii="Cambria Math" w:eastAsiaTheme="minorEastAsia" w:hAnsi="Cambria Math"/>
            <w:u w:val="single"/>
          </w:rPr>
          <m:t>A</m:t>
        </m:r>
      </m:oMath>
      <w:r>
        <w:rPr>
          <w:rFonts w:eastAsiaTheme="minorEastAsia"/>
          <w:u w:val="single"/>
        </w:rPr>
        <w:t xml:space="preserve"> par rapport à la colonne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j</m:t>
            </m:r>
          </m:sub>
        </m:sSub>
      </m:oMath>
    </w:p>
    <w:p w14:paraId="3CB28418" w14:textId="27825FAB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mineur de A obtenu en supprimant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4F519836" w14:textId="374D6E3E" w:rsidR="008047A6" w:rsidRP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cofacteur de A,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i+j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46A9D2EB" w14:textId="06C4B656" w:rsidR="008047A6" w:rsidRPr="008047A6" w:rsidRDefault="008047A6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2CF830C0" w14:textId="62E7EE30" w:rsidR="008047A6" w:rsidRP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Développement de </w:t>
      </w:r>
      <m:oMath>
        <m:r>
          <w:rPr>
            <w:rFonts w:ascii="Cambria Math" w:eastAsiaTheme="minorEastAsia" w:hAnsi="Cambria Math"/>
            <w:u w:val="single"/>
          </w:rPr>
          <m:t>A</m:t>
        </m:r>
      </m:oMath>
      <w:r>
        <w:rPr>
          <w:rFonts w:eastAsiaTheme="minorEastAsia"/>
          <w:u w:val="single"/>
        </w:rPr>
        <w:t xml:space="preserve"> par rapport à la </w:t>
      </w:r>
      <w:r>
        <w:rPr>
          <w:rFonts w:eastAsiaTheme="minorEastAsia"/>
          <w:u w:val="single"/>
        </w:rPr>
        <w:t xml:space="preserve">ligne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L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i</m:t>
            </m:r>
          </m:sub>
        </m:sSub>
      </m:oMath>
    </w:p>
    <w:p w14:paraId="25BBDCD1" w14:textId="77777777" w:rsidR="008047A6" w:rsidRPr="008047A6" w:rsidRDefault="008047A6" w:rsidP="008047A6">
      <w:pPr>
        <w:rPr>
          <w:rFonts w:eastAsiaTheme="minorEastAsia"/>
          <w:u w:val="single"/>
        </w:rPr>
      </w:pPr>
    </w:p>
    <w:p w14:paraId="37149DD8" w14:textId="4BA24FC3" w:rsidR="008047A6" w:rsidRPr="008047A6" w:rsidRDefault="008047A6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61F7FDB2" w14:textId="5F7390B5" w:rsid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Déterminant d’une matrice triangulaire par blocs :</w:t>
      </w:r>
    </w:p>
    <w:p w14:paraId="356EB767" w14:textId="52AC596C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alors </w:t>
      </w:r>
    </w:p>
    <w:p w14:paraId="55C744BB" w14:textId="3FA70548" w:rsidR="008047A6" w:rsidRPr="008047A6" w:rsidRDefault="008047A6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p,n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d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(C)</m:t>
              </m:r>
            </m:e>
          </m:func>
        </m:oMath>
      </m:oMathPara>
    </w:p>
    <w:p w14:paraId="26F71B59" w14:textId="21B74CC5" w:rsidR="008047A6" w:rsidRDefault="008047A6" w:rsidP="008047A6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Comatrice</w:t>
      </w:r>
      <w:proofErr w:type="spellEnd"/>
      <w:r>
        <w:rPr>
          <w:rFonts w:eastAsiaTheme="minorEastAsia"/>
          <w:u w:val="single"/>
        </w:rPr>
        <w:t> :</w:t>
      </w:r>
    </w:p>
    <w:p w14:paraId="412EF2A5" w14:textId="50381183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comatrice</w:t>
      </w:r>
      <w:proofErr w:type="spellEnd"/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r>
          <m:rPr>
            <m:sty m:val="p"/>
          </m:rPr>
          <w:rPr>
            <w:rFonts w:ascii="Cambria Math" w:eastAsiaTheme="minorEastAsia" w:hAnsi="Cambria Math"/>
          </w:rPr>
          <m:t>Com(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, est la matrice des cofacteurs de </w:t>
      </w:r>
      <m:oMath>
        <m:r>
          <w:rPr>
            <w:rFonts w:ascii="Cambria Math" w:eastAsiaTheme="minorEastAsia" w:hAnsi="Cambria Math"/>
          </w:rPr>
          <m:t>A </m:t>
        </m:r>
      </m:oMath>
      <w:r>
        <w:rPr>
          <w:rFonts w:eastAsiaTheme="minorEastAsia"/>
        </w:rPr>
        <w:t>:</w:t>
      </w:r>
    </w:p>
    <w:p w14:paraId="59C69E39" w14:textId="4BF09657" w:rsidR="008047A6" w:rsidRPr="008047A6" w:rsidRDefault="008047A6" w:rsidP="008047A6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Com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1≤i,j≤n</m:t>
              </m:r>
            </m:sub>
          </m:sSub>
        </m:oMath>
      </m:oMathPara>
    </w:p>
    <w:p w14:paraId="1D6AD7A2" w14:textId="47786A3E" w:rsidR="008047A6" w:rsidRDefault="008047A6" w:rsidP="008047A6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Inverse d’une matrice :</w:t>
      </w:r>
    </w:p>
    <w:p w14:paraId="55D22961" w14:textId="66F7D245" w:rsidR="008047A6" w:rsidRDefault="008047A6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  <w:iCs/>
        </w:rPr>
        <w:t xml:space="preserve"> inversible, alors </w:t>
      </w:r>
    </w:p>
    <w:p w14:paraId="61373DFE" w14:textId="4F1FCEAD" w:rsidR="008047A6" w:rsidRPr="008047A6" w:rsidRDefault="005A2159" w:rsidP="008047A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(A)</m:t>
                  </m:r>
                </m:e>
              </m:func>
            </m:den>
          </m:f>
          <m:sPre>
            <m:sPre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Com(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sPre>
        </m:oMath>
      </m:oMathPara>
    </w:p>
    <w:sectPr w:rsidR="008047A6" w:rsidRPr="00804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2318"/>
    <w:multiLevelType w:val="hybridMultilevel"/>
    <w:tmpl w:val="A2C040B0"/>
    <w:lvl w:ilvl="0" w:tplc="70748C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6351"/>
    <w:multiLevelType w:val="hybridMultilevel"/>
    <w:tmpl w:val="E73EEB50"/>
    <w:lvl w:ilvl="0" w:tplc="175EEA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81874">
    <w:abstractNumId w:val="0"/>
  </w:num>
  <w:num w:numId="2" w16cid:durableId="457992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9223C"/>
    <w:rsid w:val="000957F7"/>
    <w:rsid w:val="00184C78"/>
    <w:rsid w:val="002F4044"/>
    <w:rsid w:val="0033284F"/>
    <w:rsid w:val="00546A15"/>
    <w:rsid w:val="005A2159"/>
    <w:rsid w:val="00685212"/>
    <w:rsid w:val="007A3D69"/>
    <w:rsid w:val="008047A6"/>
    <w:rsid w:val="00CD630A"/>
    <w:rsid w:val="00E91C1C"/>
    <w:rsid w:val="00F2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EA07"/>
  <w15:chartTrackingRefBased/>
  <w15:docId w15:val="{9C0205E0-D312-4F4A-9BF1-8C4A9DF7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3D69"/>
    <w:rPr>
      <w:color w:val="808080"/>
    </w:rPr>
  </w:style>
  <w:style w:type="paragraph" w:styleId="Paragraphedeliste">
    <w:name w:val="List Paragraph"/>
    <w:basedOn w:val="Normal"/>
    <w:uiPriority w:val="34"/>
    <w:qFormat/>
    <w:rsid w:val="007A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2023-09-17T10:20:00Z</dcterms:created>
  <dcterms:modified xsi:type="dcterms:W3CDTF">2023-09-17T18:49:00Z</dcterms:modified>
</cp:coreProperties>
</file>