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8D80" w14:textId="3F1884A4" w:rsidR="0009223C" w:rsidRDefault="0077034D" w:rsidP="0077034D">
      <w:pPr>
        <w:jc w:val="center"/>
        <w:rPr>
          <w:b/>
          <w:bCs/>
          <w:sz w:val="30"/>
          <w:szCs w:val="30"/>
          <w:u w:val="single"/>
        </w:rPr>
      </w:pPr>
      <w:r w:rsidRPr="0077034D">
        <w:rPr>
          <w:b/>
          <w:bCs/>
          <w:sz w:val="30"/>
          <w:szCs w:val="30"/>
          <w:u w:val="single"/>
        </w:rPr>
        <w:t>Théorème Analyse</w:t>
      </w:r>
    </w:p>
    <w:p w14:paraId="312386E2" w14:textId="01A8D9F9" w:rsidR="0077034D" w:rsidRDefault="0077034D" w:rsidP="0077034D">
      <w:pPr>
        <w:rPr>
          <w:rFonts w:eastAsiaTheme="minorEastAsia"/>
        </w:rPr>
      </w:pPr>
      <w:r w:rsidRPr="0077034D">
        <w:rPr>
          <w:u w:val="single"/>
        </w:rPr>
        <w:t>Intégrale généralisée :</w:t>
      </w:r>
      <w:r>
        <w:t xml:space="preserve"> Soient </w:t>
      </w:r>
      <m:oMath>
        <m:r>
          <w:rPr>
            <w:rFonts w:ascii="Cambria Math" w:hAnsi="Cambria Math"/>
          </w:rPr>
          <m:t>f:I</m:t>
        </m:r>
        <m:r>
          <m:rPr>
            <m:scr m:val="double-struck"/>
          </m:rPr>
          <w:rPr>
            <w:rFonts w:ascii="Cambria Math" w:hAnsi="Cambria Math"/>
          </w:rPr>
          <m:t xml:space="preserve">→R </m:t>
        </m:r>
        <m:r>
          <m:rPr>
            <m:sty m:val="p"/>
          </m:rPr>
          <w:rPr>
            <w:rFonts w:ascii="Cambria Math" w:hAnsi="Cambria Math"/>
          </w:rPr>
          <m:t xml:space="preserve">ou </m:t>
        </m:r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continue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une primitive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On dit que l’intégrale impropre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converge</w:t>
      </w:r>
      <w:r w:rsidRPr="007703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. On pose alors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>. Sinon on dit que l’intégrale diverge.</w:t>
      </w:r>
    </w:p>
    <w:p w14:paraId="432B164D" w14:textId="3BD8258D" w:rsidR="0077034D" w:rsidRDefault="0077034D" w:rsidP="0077034D">
      <w:pPr>
        <w:rPr>
          <w:rFonts w:eastAsiaTheme="minorEastAsia"/>
        </w:rPr>
      </w:pPr>
      <w:r w:rsidRPr="0077034D">
        <w:rPr>
          <w:rFonts w:eastAsiaTheme="minorEastAsia"/>
          <w:u w:val="single"/>
        </w:rPr>
        <w:t>Intégrales de Riemann :</w:t>
      </w:r>
      <w:r>
        <w:rPr>
          <w:rFonts w:eastAsiaTheme="minorEastAsia"/>
        </w:rPr>
        <w:t xml:space="preserve"> </w:t>
      </w:r>
    </w:p>
    <w:p w14:paraId="2925FC39" w14:textId="72D017E6" w:rsidR="0077034D" w:rsidRDefault="0077034D" w:rsidP="0077034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a&gt;0, 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l’intégrale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ssi </w:t>
      </w:r>
      <m:oMath>
        <m:r>
          <w:rPr>
            <w:rFonts w:ascii="Cambria Math" w:eastAsiaTheme="minorEastAsia" w:hAnsi="Cambria Math"/>
          </w:rPr>
          <m:t>λ&gt;1</m:t>
        </m:r>
      </m:oMath>
      <w:r>
        <w:rPr>
          <w:rFonts w:eastAsiaTheme="minorEastAsia"/>
        </w:rPr>
        <w:t>.</w:t>
      </w:r>
    </w:p>
    <w:p w14:paraId="7591D841" w14:textId="6E083379" w:rsidR="0077034D" w:rsidRDefault="0077034D" w:rsidP="0077034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a&gt;0, 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l’intégrale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ssi </w:t>
      </w:r>
      <m:oMath>
        <m:r>
          <w:rPr>
            <w:rFonts w:ascii="Cambria Math" w:eastAsiaTheme="minorEastAsia" w:hAnsi="Cambria Math"/>
          </w:rPr>
          <m:t>λ&lt;1</m:t>
        </m:r>
      </m:oMath>
      <w:r>
        <w:rPr>
          <w:rFonts w:eastAsiaTheme="minorEastAsia"/>
        </w:rPr>
        <w:t>.</w:t>
      </w:r>
    </w:p>
    <w:p w14:paraId="4F8F2564" w14:textId="1C8E8E43" w:rsidR="0077034D" w:rsidRDefault="0077034D" w:rsidP="0077034D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Linéarité :</w:t>
      </w:r>
    </w:p>
    <w:p w14:paraId="723A0853" w14:textId="22ED2FA3" w:rsidR="0077034D" w:rsidRDefault="0077034D" w:rsidP="0077034D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continues. 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convergent, alors </w:t>
      </w:r>
      <m:oMath>
        <m:r>
          <w:rPr>
            <w:rFonts w:ascii="Cambria Math" w:eastAsiaTheme="minorEastAsia" w:hAnsi="Cambria Math"/>
          </w:rPr>
          <m:t>∃λ, μ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845C15">
        <w:rPr>
          <w:rFonts w:eastAsiaTheme="minorEastAsia"/>
        </w:rPr>
        <w:t xml:space="preserve">,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λf+μg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845C15">
        <w:rPr>
          <w:rFonts w:eastAsiaTheme="minorEastAsia"/>
        </w:rPr>
        <w:t xml:space="preserve"> converge.</w:t>
      </w:r>
    </w:p>
    <w:p w14:paraId="146A924D" w14:textId="3760A536" w:rsidR="00845C15" w:rsidRDefault="00845C15" w:rsidP="0077034D">
      <w:pPr>
        <w:rPr>
          <w:rFonts w:eastAsiaTheme="minorEastAsia"/>
        </w:rPr>
      </w:pPr>
      <w:r>
        <w:rPr>
          <w:rFonts w:eastAsiaTheme="minorEastAsia"/>
          <w:u w:val="single"/>
        </w:rPr>
        <w:t>Relation de Chasles :</w:t>
      </w:r>
    </w:p>
    <w:p w14:paraId="7A4715CC" w14:textId="74232F61" w:rsidR="00845C15" w:rsidRDefault="00845C15" w:rsidP="0077034D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f(t)</m:t>
            </m:r>
          </m:e>
        </m:nary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converge, alors </w:t>
      </w:r>
      <m:oMath>
        <m:r>
          <w:rPr>
            <w:rFonts w:ascii="Cambria Math" w:eastAsiaTheme="minorEastAsia" w:hAnsi="Cambria Math"/>
          </w:rPr>
          <m:t>∀γ∈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α;β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γ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γ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convergent également.</w:t>
      </w:r>
    </w:p>
    <w:p w14:paraId="5142107A" w14:textId="03293025" w:rsidR="00845C15" w:rsidRDefault="00845C15" w:rsidP="0077034D">
      <w:pPr>
        <w:rPr>
          <w:rFonts w:eastAsiaTheme="minorEastAsia"/>
        </w:rPr>
      </w:pPr>
      <w:r>
        <w:rPr>
          <w:rFonts w:eastAsiaTheme="minorEastAsia"/>
          <w:u w:val="single"/>
        </w:rPr>
        <w:t>Changement de variables :</w:t>
      </w:r>
    </w:p>
    <w:p w14:paraId="7854611F" w14:textId="77777777" w:rsidR="00DA1C62" w:rsidRDefault="00845C15" w:rsidP="0077034D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φ :J→I</m:t>
        </m:r>
      </m:oMath>
      <w:r>
        <w:rPr>
          <w:rFonts w:eastAsiaTheme="minorEastAsia"/>
        </w:rPr>
        <w:t xml:space="preserve"> une bijection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strictement croissante </w:t>
      </w:r>
      <w:r w:rsidR="00DA1C62">
        <w:rPr>
          <w:rFonts w:eastAsiaTheme="minorEastAsia"/>
        </w:rPr>
        <w:t xml:space="preserve">sur l’intervalle </w:t>
      </w:r>
      <m:oMath>
        <m:r>
          <w:rPr>
            <w:rFonts w:ascii="Cambria Math" w:eastAsiaTheme="minorEastAsia" w:hAnsi="Cambria Math"/>
          </w:rPr>
          <m:t>J</m:t>
        </m:r>
      </m:oMath>
      <w:r w:rsidR="00DA1C62">
        <w:rPr>
          <w:rFonts w:eastAsiaTheme="minorEastAsia"/>
        </w:rPr>
        <w:t xml:space="preserve"> d’extrémités </w:t>
      </w:r>
    </w:p>
    <w:p w14:paraId="58AEABD9" w14:textId="77DBCA48" w:rsidR="00845C15" w:rsidRDefault="00DA1C62" w:rsidP="0077034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(J)</m:t>
            </m:r>
          </m:e>
        </m:func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(J)</m:t>
            </m:r>
          </m:e>
        </m:func>
      </m:oMath>
      <w:r>
        <w:rPr>
          <w:rFonts w:eastAsiaTheme="minorEastAsia"/>
        </w:rPr>
        <w:t xml:space="preserve">. Alors les intégrales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du</m:t>
            </m:r>
          </m:e>
        </m:nary>
      </m:oMath>
      <w:r>
        <w:rPr>
          <w:rFonts w:eastAsiaTheme="minorEastAsia"/>
        </w:rPr>
        <w:t xml:space="preserve"> sont de même nature, et sont égales en cas de convergence.</w:t>
      </w:r>
    </w:p>
    <w:p w14:paraId="11296EB1" w14:textId="6BB6488B" w:rsidR="00DA1C62" w:rsidRDefault="00872831" w:rsidP="0077034D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Intégration par parties </w:t>
      </w:r>
      <w:r w:rsidR="002B0CB3">
        <w:rPr>
          <w:rFonts w:eastAsiaTheme="minorEastAsia"/>
          <w:u w:val="single"/>
        </w:rPr>
        <w:t>généralisées :</w:t>
      </w:r>
    </w:p>
    <w:p w14:paraId="549435E6" w14:textId="2F871D44" w:rsidR="002B0CB3" w:rsidRDefault="002B0CB3" w:rsidP="0077034D">
      <w:pPr>
        <w:rPr>
          <w:rFonts w:eastAsiaTheme="minorEastAsia"/>
          <w:iCs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u,v :I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ou 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  <w:iCs/>
        </w:rPr>
        <w:t xml:space="preserve">. Si l’intégrale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  <w:iCs/>
        </w:rPr>
        <w:t xml:space="preserve"> converge et si la fonction </w:t>
      </w:r>
      <m:oMath>
        <m:r>
          <w:rPr>
            <w:rFonts w:ascii="Cambria Math" w:eastAsiaTheme="minorEastAsia" w:hAnsi="Cambria Math"/>
          </w:rPr>
          <m:t>uv</m:t>
        </m:r>
      </m:oMath>
      <w:r>
        <w:rPr>
          <w:rFonts w:eastAsiaTheme="minorEastAsia"/>
          <w:iCs/>
        </w:rPr>
        <w:t xml:space="preserve"> admet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  <w:iCs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  <w:iCs/>
        </w:rPr>
        <w:t xml:space="preserve">, alors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  <w:iCs/>
        </w:rPr>
        <w:t xml:space="preserve"> converge, et on a :</w:t>
      </w:r>
    </w:p>
    <w:p w14:paraId="126CADD1" w14:textId="1ABB3836" w:rsidR="002B0CB3" w:rsidRPr="003E3639" w:rsidRDefault="00000000" w:rsidP="0077034D">
      <w:pPr>
        <w:rPr>
          <w:rFonts w:eastAsiaTheme="minorEastAsia"/>
          <w:iCs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63603028" w14:textId="0EDB315D" w:rsidR="003E3639" w:rsidRDefault="003E3639" w:rsidP="0077034D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Fonction intégrable :</w:t>
      </w:r>
    </w:p>
    <w:p w14:paraId="47EFFB63" w14:textId="5C8BF2E2" w:rsidR="003E3639" w:rsidRDefault="003E3639" w:rsidP="0077034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iCs/>
        </w:rPr>
        <w:t>converge.</w:t>
      </w:r>
    </w:p>
    <w:p w14:paraId="0461F163" w14:textId="3C7614B8" w:rsidR="003E3639" w:rsidRDefault="003E3639" w:rsidP="0077034D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Intégrabilité sur un segment inclus dans celui de départ :</w:t>
      </w:r>
    </w:p>
    <w:p w14:paraId="6282E66C" w14:textId="5D005B0A" w:rsidR="003E3639" w:rsidRDefault="003E3639" w:rsidP="003E363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  <w:iCs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 et </w:t>
      </w:r>
      <m:oMath>
        <m:r>
          <w:rPr>
            <w:rFonts w:ascii="Cambria Math" w:eastAsiaTheme="minorEastAsia" w:hAnsi="Cambria Math"/>
          </w:rPr>
          <m:t xml:space="preserve">J⊂I </m:t>
        </m:r>
      </m:oMath>
      <w:r>
        <w:rPr>
          <w:rFonts w:eastAsiaTheme="minorEastAsia"/>
          <w:iCs/>
        </w:rPr>
        <w:t xml:space="preserve">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Cs/>
        </w:rPr>
        <w:t>.</w:t>
      </w:r>
    </w:p>
    <w:p w14:paraId="4151B57A" w14:textId="370D1D00" w:rsidR="003E3639" w:rsidRDefault="003E3639" w:rsidP="003E3639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alors elle l’est aussi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iCs/>
        </w:rPr>
        <w:t>.</w:t>
      </w:r>
    </w:p>
    <w:p w14:paraId="5E502B7B" w14:textId="05A8A64F" w:rsidR="003E3639" w:rsidRPr="003E3639" w:rsidRDefault="003E3639" w:rsidP="003E3639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  <w:iCs/>
        </w:rPr>
        <w:t xml:space="preserve">n’est pas intégrable sur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  <w:iCs/>
        </w:rPr>
        <w:t xml:space="preserve">, alors elle ne l’est pas non plus sur </w:t>
      </w:r>
      <m:oMath>
        <m:r>
          <w:rPr>
            <w:rFonts w:ascii="Cambria Math" w:eastAsiaTheme="minorEastAsia" w:hAnsi="Cambria Math"/>
          </w:rPr>
          <m:t>I.</m:t>
        </m:r>
      </m:oMath>
    </w:p>
    <w:p w14:paraId="708BE730" w14:textId="1CD68BF3" w:rsidR="004A1844" w:rsidRDefault="004A1844" w:rsidP="003E3639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Théorème de comparaison :</w:t>
      </w:r>
    </w:p>
    <w:p w14:paraId="05390017" w14:textId="7617BF0F" w:rsidR="004A1844" w:rsidRDefault="004A1844" w:rsidP="003E363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f,g:I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  <w:iCs/>
        </w:rPr>
        <w:t xml:space="preserve"> continues et à valeurs positives</w:t>
      </w:r>
      <w:r w:rsidR="00BE5071">
        <w:rPr>
          <w:rFonts w:eastAsiaTheme="minorEastAsia"/>
          <w:iCs/>
        </w:rPr>
        <w:t xml:space="preserve"> telles que </w:t>
      </w:r>
      <m:oMath>
        <m:r>
          <w:rPr>
            <w:rFonts w:ascii="Cambria Math" w:eastAsiaTheme="minorEastAsia" w:hAnsi="Cambria Math"/>
          </w:rPr>
          <m:t>f≤g</m:t>
        </m:r>
      </m:oMath>
    </w:p>
    <w:p w14:paraId="718CD6A0" w14:textId="01C04036" w:rsidR="00BE5071" w:rsidRDefault="00BE5071" w:rsidP="00BE5071">
      <w:pPr>
        <w:pStyle w:val="Paragraphedeliste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l’est également.</w:t>
      </w:r>
    </w:p>
    <w:p w14:paraId="257B9238" w14:textId="09A290A2" w:rsidR="00BE5071" w:rsidRDefault="00BE5071" w:rsidP="00BE5071">
      <w:pPr>
        <w:pStyle w:val="Paragraphedeliste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n’est pas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 xml:space="preserve"> non plus.</w:t>
      </w:r>
    </w:p>
    <w:p w14:paraId="5C253418" w14:textId="77777777" w:rsidR="00BE5071" w:rsidRDefault="00BE5071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br w:type="page"/>
      </w:r>
    </w:p>
    <w:p w14:paraId="79946A50" w14:textId="701E796D" w:rsidR="00BE5071" w:rsidRDefault="00BE5071" w:rsidP="00BE5071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lastRenderedPageBreak/>
        <w:t>Intégrabilité des fonctions dominées :</w:t>
      </w:r>
    </w:p>
    <w:p w14:paraId="33918169" w14:textId="24106B00" w:rsidR="00BE5071" w:rsidRDefault="002758F4" w:rsidP="00BE507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b∈]a;+∞[ 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. Soient </w:t>
      </w:r>
      <m:oMath>
        <m:r>
          <w:rPr>
            <w:rFonts w:ascii="Cambria Math" w:eastAsiaTheme="minorEastAsia" w:hAnsi="Cambria Math"/>
          </w:rPr>
          <m:t>f,g :[a,b</m:t>
        </m:r>
        <m:r>
          <m:rPr>
            <m:scr m:val="double-struck"/>
          </m:rPr>
          <w:rPr>
            <w:rFonts w:ascii="Cambria Math" w:eastAsiaTheme="minorEastAsia" w:hAnsi="Cambria Math"/>
          </w:rPr>
          <m:t>[ →R</m:t>
        </m:r>
      </m:oMath>
      <w:r>
        <w:rPr>
          <w:rFonts w:eastAsiaTheme="minorEastAsia"/>
          <w:iCs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continues telles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x→b</m:t>
            </m:r>
          </m:sub>
        </m:sSub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  <w:iCs/>
        </w:rPr>
        <w:t>.</w:t>
      </w:r>
    </w:p>
    <w:p w14:paraId="179E3392" w14:textId="19F187E2" w:rsidR="002758F4" w:rsidRDefault="002758F4" w:rsidP="002758F4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l’est également.</w:t>
      </w:r>
    </w:p>
    <w:p w14:paraId="4CB0CDA3" w14:textId="4A76FC4E" w:rsidR="002758F4" w:rsidRDefault="002758F4" w:rsidP="002758F4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n’est pas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, alors il en va de même pour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iCs/>
        </w:rPr>
        <w:t>.</w:t>
      </w:r>
    </w:p>
    <w:p w14:paraId="48C6665F" w14:textId="53551539" w:rsidR="00C40ACB" w:rsidRDefault="00C40ACB" w:rsidP="00C40ACB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 xml:space="preserve">Intégrabilité des fonctions </w:t>
      </w:r>
      <w:r w:rsidR="003D4717">
        <w:rPr>
          <w:rFonts w:eastAsiaTheme="minorEastAsia"/>
          <w:iCs/>
          <w:u w:val="single"/>
        </w:rPr>
        <w:t>équivalentes</w:t>
      </w:r>
      <w:r>
        <w:rPr>
          <w:rFonts w:eastAsiaTheme="minorEastAsia"/>
          <w:iCs/>
          <w:u w:val="single"/>
        </w:rPr>
        <w:t> :</w:t>
      </w:r>
    </w:p>
    <w:p w14:paraId="7E522CD0" w14:textId="6FAF2C1A" w:rsidR="00C40ACB" w:rsidRDefault="00C40ACB" w:rsidP="00C40AC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Soient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b∈]a;+∞[ 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. Soient </w:t>
      </w:r>
      <m:oMath>
        <m:r>
          <w:rPr>
            <w:rFonts w:ascii="Cambria Math" w:eastAsiaTheme="minorEastAsia" w:hAnsi="Cambria Math"/>
          </w:rPr>
          <m:t>f,g :[a,b</m:t>
        </m:r>
        <m:r>
          <m:rPr>
            <m:scr m:val="double-struck"/>
          </m:rPr>
          <w:rPr>
            <w:rFonts w:ascii="Cambria Math" w:eastAsiaTheme="minorEastAsia" w:hAnsi="Cambria Math"/>
          </w:rPr>
          <m:t>[ →R</m:t>
        </m:r>
      </m:oMath>
      <w:r>
        <w:rPr>
          <w:rFonts w:eastAsiaTheme="minorEastAsia"/>
          <w:iCs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 xml:space="preserve"> continues telles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~</m:t>
            </m:r>
          </m:e>
          <m:sub>
            <m:r>
              <w:rPr>
                <w:rFonts w:ascii="Cambria Math" w:eastAsiaTheme="minorEastAsia" w:hAnsi="Cambria Math"/>
              </w:rPr>
              <m:t>x→b</m:t>
            </m:r>
          </m:sub>
        </m:sSub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  <w:iCs/>
        </w:rPr>
        <w:t>.</w:t>
      </w:r>
    </w:p>
    <w:p w14:paraId="6D8C7003" w14:textId="014AF258" w:rsidR="002758F4" w:rsidRDefault="00DA5443" w:rsidP="00DA5443">
      <w:pPr>
        <w:pStyle w:val="Paragraphedeliste"/>
        <w:ind w:left="1080"/>
        <w:rPr>
          <w:rFonts w:eastAsiaTheme="minorEastAsia"/>
        </w:rPr>
      </w:pPr>
      <w:r>
        <w:rPr>
          <w:rFonts w:eastAsiaTheme="minorEastAsia"/>
          <w:iCs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intégrable sur </w:t>
      </w:r>
      <m:oMath>
        <m:r>
          <w:rPr>
            <w:rFonts w:ascii="Cambria Math" w:eastAsiaTheme="minorEastAsia" w:hAnsi="Cambria Math"/>
          </w:rPr>
          <m:t>[a,b[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⟺g</m:t>
        </m:r>
      </m:oMath>
      <w:r>
        <w:rPr>
          <w:rFonts w:eastAsiaTheme="minorEastAsia"/>
          <w:iCs/>
        </w:rPr>
        <w:t xml:space="preserve"> intégrable sur </w:t>
      </w:r>
      <m:oMath>
        <m:r>
          <w:rPr>
            <w:rFonts w:ascii="Cambria Math" w:eastAsiaTheme="minorEastAsia" w:hAnsi="Cambria Math"/>
          </w:rPr>
          <m:t>[a,b[</m:t>
        </m:r>
        <m:r>
          <w:rPr>
            <w:rFonts w:ascii="Cambria Math" w:eastAsiaTheme="minorEastAsia" w:hAnsi="Cambria Math"/>
          </w:rPr>
          <m:t>.</m:t>
        </m:r>
      </m:oMath>
    </w:p>
    <w:p w14:paraId="30D4F163" w14:textId="77777777" w:rsidR="00E43B33" w:rsidRDefault="00E43B33" w:rsidP="00DA5443">
      <w:pPr>
        <w:pStyle w:val="Paragraphedeliste"/>
        <w:ind w:left="1080"/>
        <w:rPr>
          <w:rFonts w:eastAsiaTheme="minorEastAsia"/>
        </w:rPr>
      </w:pPr>
    </w:p>
    <w:p w14:paraId="7B08FBC8" w14:textId="22B0191A" w:rsidR="00881549" w:rsidRDefault="00881549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Linéarité de l’intégrabilité :</w:t>
      </w:r>
    </w:p>
    <w:p w14:paraId="4B432BB0" w14:textId="77777777" w:rsidR="00DA130B" w:rsidRDefault="00881549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:I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continues</w:t>
      </w:r>
      <w:r>
        <w:rPr>
          <w:rFonts w:eastAsiaTheme="minorEastAsia"/>
        </w:rPr>
        <w:t>.</w:t>
      </w:r>
      <w:r w:rsidR="00DA130B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 w:rsidR="00DA130B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DA130B">
        <w:rPr>
          <w:rFonts w:eastAsiaTheme="minorEastAsia"/>
        </w:rPr>
        <w:t xml:space="preserve"> sont in</w:t>
      </w:r>
      <w:proofErr w:type="spellStart"/>
      <w:r w:rsidR="00DA130B">
        <w:rPr>
          <w:rFonts w:eastAsiaTheme="minorEastAsia"/>
        </w:rPr>
        <w:t>tégrables</w:t>
      </w:r>
      <w:proofErr w:type="spellEnd"/>
      <w:r w:rsidR="00DA130B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DA130B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∀λ,μ∈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DA130B">
        <w:rPr>
          <w:rFonts w:eastAsiaTheme="minorEastAsia"/>
        </w:rPr>
        <w:t xml:space="preserve">, la fonction </w:t>
      </w:r>
    </w:p>
    <w:p w14:paraId="4C8B87E3" w14:textId="2218A1BE" w:rsidR="00881549" w:rsidRDefault="00DA130B" w:rsidP="00E43B33">
      <w:pPr>
        <w:pStyle w:val="Paragraphedeliste"/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λf+μg</m:t>
        </m:r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2D98EE15" w14:textId="77777777" w:rsidR="00DA130B" w:rsidRDefault="00DA130B" w:rsidP="00E43B33">
      <w:pPr>
        <w:pStyle w:val="Paragraphedeliste"/>
        <w:ind w:left="0"/>
        <w:rPr>
          <w:rFonts w:eastAsiaTheme="minorEastAsia"/>
        </w:rPr>
      </w:pPr>
    </w:p>
    <w:p w14:paraId="4924AC2E" w14:textId="61EF62B2" w:rsidR="00DA130B" w:rsidRDefault="00DA130B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Inégalité de Cauchy-Schwarz :</w:t>
      </w:r>
    </w:p>
    <w:p w14:paraId="1776A677" w14:textId="65DEDA37" w:rsidR="00DA130B" w:rsidRDefault="00DA130B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:I→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continues. 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sont intégrables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fg</m:t>
        </m:r>
      </m:oMath>
      <w:r>
        <w:rPr>
          <w:rFonts w:eastAsiaTheme="minorEastAsia"/>
        </w:rPr>
        <w:t xml:space="preserve"> l’est aussi et :</w:t>
      </w:r>
    </w:p>
    <w:p w14:paraId="3E63F55B" w14:textId="10A84784" w:rsidR="00DA130B" w:rsidRPr="00DA130B" w:rsidRDefault="00DA130B" w:rsidP="00E43B33">
      <w:pPr>
        <w:pStyle w:val="Paragraphedeliste"/>
        <w:ind w:left="0"/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≤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rad>
        </m:oMath>
      </m:oMathPara>
    </w:p>
    <w:p w14:paraId="57504713" w14:textId="17E45CD8" w:rsidR="00DA130B" w:rsidRDefault="00DA130B" w:rsidP="00E43B33">
      <w:pPr>
        <w:pStyle w:val="Paragraphedeliste"/>
        <w:ind w:left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Lien entre intégrabilité de </w:t>
      </w:r>
      <m:oMath>
        <m:r>
          <w:rPr>
            <w:rFonts w:ascii="Cambria Math" w:eastAsiaTheme="minorEastAsia" w:hAnsi="Cambria Math"/>
            <w:u w:val="single"/>
          </w:rPr>
          <m:t>f</m:t>
        </m:r>
      </m:oMath>
      <w:r>
        <w:rPr>
          <w:rFonts w:eastAsiaTheme="minorEastAsia"/>
          <w:u w:val="single"/>
        </w:rPr>
        <w:t xml:space="preserve"> et convergence de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  <w:u w:val="single"/>
              </w:rPr>
            </m:ctrlPr>
          </m:naryPr>
          <m:sub>
            <m:r>
              <w:rPr>
                <w:rFonts w:ascii="Cambria Math" w:eastAsiaTheme="minorEastAsia" w:hAnsi="Cambria Math"/>
                <w:u w:val="single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  <w:u w:val="single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u w:val="single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u w:val="single"/>
              </w:rPr>
              <m:t>dt</m:t>
            </m:r>
          </m:e>
        </m:nary>
      </m:oMath>
    </w:p>
    <w:p w14:paraId="285D0973" w14:textId="2E8FC4A3" w:rsidR="00DA130B" w:rsidRDefault="00DA130B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alors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converge, et :</w:t>
      </w:r>
    </w:p>
    <w:p w14:paraId="6C03D8EC" w14:textId="693DFAEC" w:rsidR="00DA130B" w:rsidRPr="00566674" w:rsidRDefault="00DA130B" w:rsidP="00E43B33">
      <w:pPr>
        <w:pStyle w:val="Paragraphedeliste"/>
        <w:ind w:left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≤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310D8C2" w14:textId="1491FEE3" w:rsidR="00566674" w:rsidRDefault="00566674" w:rsidP="00E43B33">
      <w:pPr>
        <w:pStyle w:val="Paragraphedeliste"/>
        <w:ind w:left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 de l’absolue convergence :</w:t>
      </w:r>
    </w:p>
    <w:p w14:paraId="5F25CDEE" w14:textId="61D7BABB" w:rsidR="00566674" w:rsidRDefault="00566674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f:I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ou 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continue. On dit que l’intégrale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est absolument convergente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Si </w:t>
      </w:r>
      <m:oMath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mais pas absolument, on dit qu’elle est semi-convergente.</w:t>
      </w:r>
    </w:p>
    <w:p w14:paraId="19D87D6C" w14:textId="77777777" w:rsidR="000E5938" w:rsidRDefault="000E5938" w:rsidP="00E43B33">
      <w:pPr>
        <w:pStyle w:val="Paragraphedeliste"/>
        <w:ind w:left="0"/>
        <w:rPr>
          <w:rFonts w:eastAsiaTheme="minorEastAsia"/>
        </w:rPr>
      </w:pPr>
    </w:p>
    <w:p w14:paraId="24AE262A" w14:textId="71073EDB" w:rsidR="000E5938" w:rsidRDefault="000E5938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Intégrales de Bertrand :</w:t>
      </w:r>
    </w:p>
    <w:p w14:paraId="35B2E9AD" w14:textId="77777777" w:rsidR="00E16925" w:rsidRDefault="000E5938" w:rsidP="00E43B3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b&gt;1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λ,μ∈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16925">
        <w:rPr>
          <w:rFonts w:eastAsiaTheme="minorEastAsia"/>
        </w:rPr>
        <w:t xml:space="preserve">, </w:t>
      </w:r>
    </w:p>
    <w:p w14:paraId="1EC9A25B" w14:textId="37E05F40" w:rsidR="000E5938" w:rsidRPr="00E16925" w:rsidRDefault="00E16925" w:rsidP="00E43B33">
      <w:pPr>
        <w:pStyle w:val="Paragraphedeliste"/>
        <w:ind w:left="0"/>
        <w:rPr>
          <w:rFonts w:eastAsiaTheme="minorEastAsia"/>
          <w:i/>
        </w:rPr>
      </w:pPr>
      <w:r>
        <w:rPr>
          <w:rFonts w:eastAsiaTheme="minorEastAsia"/>
        </w:rPr>
        <w:t xml:space="preserve">la fonction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μ</m:t>
                </m:r>
              </m:sup>
            </m:sSup>
          </m:den>
        </m:f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 xml:space="preserve">[b;+∞[ </m:t>
        </m:r>
      </m:oMath>
      <w:r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λ&gt;1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(λ=1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et</m:t>
        </m:r>
        <m:r>
          <w:rPr>
            <w:rFonts w:ascii="Cambria Math" w:eastAsiaTheme="minorEastAsia" w:hAnsi="Cambria Math"/>
          </w:rPr>
          <m:t xml:space="preserve"> μ&gt;1)</m:t>
        </m:r>
      </m:oMath>
    </w:p>
    <w:sectPr w:rsidR="000E5938" w:rsidRPr="00E16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69C7" w14:textId="77777777" w:rsidR="003C33B7" w:rsidRDefault="003C33B7" w:rsidP="00845C15">
      <w:pPr>
        <w:spacing w:after="0" w:line="240" w:lineRule="auto"/>
      </w:pPr>
      <w:r>
        <w:separator/>
      </w:r>
    </w:p>
  </w:endnote>
  <w:endnote w:type="continuationSeparator" w:id="0">
    <w:p w14:paraId="7A98322E" w14:textId="77777777" w:rsidR="003C33B7" w:rsidRDefault="003C33B7" w:rsidP="0084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357B5" w14:textId="77777777" w:rsidR="003C33B7" w:rsidRDefault="003C33B7" w:rsidP="00845C15">
      <w:pPr>
        <w:spacing w:after="0" w:line="240" w:lineRule="auto"/>
      </w:pPr>
      <w:r>
        <w:separator/>
      </w:r>
    </w:p>
  </w:footnote>
  <w:footnote w:type="continuationSeparator" w:id="0">
    <w:p w14:paraId="64716B51" w14:textId="77777777" w:rsidR="003C33B7" w:rsidRDefault="003C33B7" w:rsidP="00845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A08"/>
    <w:multiLevelType w:val="hybridMultilevel"/>
    <w:tmpl w:val="267E3AF0"/>
    <w:lvl w:ilvl="0" w:tplc="9ECC7C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6E10"/>
    <w:multiLevelType w:val="hybridMultilevel"/>
    <w:tmpl w:val="6820FB9E"/>
    <w:lvl w:ilvl="0" w:tplc="71E01E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24C5"/>
    <w:multiLevelType w:val="hybridMultilevel"/>
    <w:tmpl w:val="3E8863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16404"/>
    <w:multiLevelType w:val="hybridMultilevel"/>
    <w:tmpl w:val="1D8834B6"/>
    <w:lvl w:ilvl="0" w:tplc="C0924B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93504"/>
    <w:multiLevelType w:val="hybridMultilevel"/>
    <w:tmpl w:val="1D8834B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47989">
    <w:abstractNumId w:val="2"/>
  </w:num>
  <w:num w:numId="2" w16cid:durableId="1979727373">
    <w:abstractNumId w:val="1"/>
  </w:num>
  <w:num w:numId="3" w16cid:durableId="63770342">
    <w:abstractNumId w:val="0"/>
  </w:num>
  <w:num w:numId="4" w16cid:durableId="1478572825">
    <w:abstractNumId w:val="3"/>
  </w:num>
  <w:num w:numId="5" w16cid:durableId="185363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4D"/>
    <w:rsid w:val="0009223C"/>
    <w:rsid w:val="000E5938"/>
    <w:rsid w:val="001E2247"/>
    <w:rsid w:val="002758F4"/>
    <w:rsid w:val="002B0CB3"/>
    <w:rsid w:val="002F4044"/>
    <w:rsid w:val="003C33B7"/>
    <w:rsid w:val="003D4717"/>
    <w:rsid w:val="003E3639"/>
    <w:rsid w:val="004A1844"/>
    <w:rsid w:val="00566674"/>
    <w:rsid w:val="0077034D"/>
    <w:rsid w:val="00845C15"/>
    <w:rsid w:val="00872831"/>
    <w:rsid w:val="00881549"/>
    <w:rsid w:val="00BE5071"/>
    <w:rsid w:val="00C40ACB"/>
    <w:rsid w:val="00C531FF"/>
    <w:rsid w:val="00DA130B"/>
    <w:rsid w:val="00DA1C62"/>
    <w:rsid w:val="00DA5443"/>
    <w:rsid w:val="00E16925"/>
    <w:rsid w:val="00E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A7ED"/>
  <w15:chartTrackingRefBased/>
  <w15:docId w15:val="{CD8281BC-09A7-49D7-95AD-C0B158B6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7034D"/>
    <w:rPr>
      <w:color w:val="808080"/>
    </w:rPr>
  </w:style>
  <w:style w:type="paragraph" w:styleId="Paragraphedeliste">
    <w:name w:val="List Paragraph"/>
    <w:basedOn w:val="Normal"/>
    <w:uiPriority w:val="34"/>
    <w:qFormat/>
    <w:rsid w:val="0077034D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845C1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5C1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45C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13</cp:revision>
  <dcterms:created xsi:type="dcterms:W3CDTF">2023-09-16T10:33:00Z</dcterms:created>
  <dcterms:modified xsi:type="dcterms:W3CDTF">2023-09-16T11:53:00Z</dcterms:modified>
</cp:coreProperties>
</file>