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9746" w14:textId="35314AE8" w:rsidR="0009223C" w:rsidRDefault="00D83C5E" w:rsidP="00D83C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5 – Isométries en dimension 2 et 3</w:t>
      </w:r>
      <w:r w:rsidR="007768B0">
        <w:rPr>
          <w:b/>
          <w:bCs/>
          <w:u w:val="single"/>
        </w:rPr>
        <w:t xml:space="preserve"> </w:t>
      </w:r>
    </w:p>
    <w:p w14:paraId="36D89813" w14:textId="2E13D79E" w:rsidR="007768B0" w:rsidRDefault="007768B0" w:rsidP="007768B0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espace préhilbertien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1E4C8000" w14:textId="5C332565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rappelle que 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famille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</m:oMath>
    </w:p>
    <w:p w14:paraId="5D384B8F" w14:textId="43BA3747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B51975A" w14:textId="1F3B03D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est une autre base de </w:t>
      </w:r>
      <m:oMath>
        <m:r>
          <w:rPr>
            <w:rFonts w:ascii="Cambria Math" w:eastAsiaTheme="minorEastAsia" w:hAnsi="Cambria Math"/>
          </w:rPr>
          <m:t xml:space="preserve">E, </m:t>
        </m:r>
      </m:oMath>
      <w:r>
        <w:rPr>
          <w:rFonts w:eastAsiaTheme="minorEastAsia"/>
        </w:rPr>
        <w:t xml:space="preserve">si on note,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3534B64B" w14:textId="247D202E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=P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417AD148" w14:textId="32040C25" w:rsidR="007768B0" w:rsidRP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 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lit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14:paraId="5CD2A242" w14:textId="6CDB7622" w:rsidR="007768B0" w:rsidRDefault="007768B0" w:rsidP="007768B0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Espaces euclidiens orientés</w:t>
      </w:r>
    </w:p>
    <w:p w14:paraId="267F10AF" w14:textId="371B797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se fixe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0577021" w14:textId="64DCA03E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Pour toute base orthonormée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sait que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→B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3581275E" w14:textId="419E4A29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=±1</m:t>
        </m:r>
      </m:oMath>
    </w:p>
    <w:p w14:paraId="5BC9F12A" w14:textId="0BB81E41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l’ensemble des bases orthonormées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peut donc s’écrire comme l’union disjointe :</w:t>
      </w:r>
    </w:p>
    <w:p w14:paraId="5109EBD8" w14:textId="4A24F0F7" w:rsidR="00890324" w:rsidRPr="00890324" w:rsidRDefault="00890324" w:rsidP="00890324">
      <w:pPr>
        <w:rPr>
          <w:rFonts w:eastAsiaTheme="minorEastAsia"/>
        </w:rPr>
      </w:pPr>
      <m:oMathPara>
        <m:oMath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>b.o.n de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 xml:space="preserve">b.o.n de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e>
          </m:d>
        </m:oMath>
      </m:oMathPara>
    </w:p>
    <w:p w14:paraId="6F162D85" w14:textId="1363FB27" w:rsid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 la même orientation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&gt;0</m:t>
            </m:r>
          </m:e>
        </m:func>
      </m:oMath>
      <w:r>
        <w:rPr>
          <w:rFonts w:eastAsiaTheme="minorEastAsia"/>
        </w:rPr>
        <w:t>.</w:t>
      </w:r>
    </w:p>
    <w:p w14:paraId="616280C5" w14:textId="74F26D9C" w:rsidR="00890324" w:rsidRP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inverse l’orientation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</w:rPr>
              <m:t>0</m:t>
            </m:r>
          </m:e>
        </m:func>
      </m:oMath>
      <w:r>
        <w:rPr>
          <w:rFonts w:eastAsiaTheme="minorEastAsia"/>
        </w:rPr>
        <w:t>.</w:t>
      </w:r>
    </w:p>
    <w:p w14:paraId="499EEB71" w14:textId="768CE177" w:rsidR="00890324" w:rsidRDefault="00890324" w:rsidP="007768B0">
      <w:pPr>
        <w:rPr>
          <w:rFonts w:eastAsiaTheme="minorEastAsia"/>
        </w:rPr>
      </w:pPr>
      <w:r>
        <w:t xml:space="preserve">La base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est appelée base de référence pour l’orientation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E4C8235" w14:textId="62BE7756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Orienter l’espace euclidien consiste à choisir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référence et adopter le vocabulaire suivant :</w:t>
      </w:r>
    </w:p>
    <w:p w14:paraId="38619B50" w14:textId="722F1215" w:rsidR="00890324" w:rsidRDefault="00890324" w:rsidP="007768B0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orienté par une base </w:t>
      </w:r>
      <w:r w:rsidRPr="00407784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</w:t>
      </w:r>
      <w:r w:rsidRPr="00890324">
        <w:rPr>
          <w:rFonts w:eastAsiaTheme="minorEastAsia"/>
        </w:rPr>
        <w:t>b.o.n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dit que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=+1</m:t>
        </m:r>
      </m:oMath>
      <w:r>
        <w:rPr>
          <w:rFonts w:eastAsiaTheme="minorEastAsia"/>
        </w:rPr>
        <w:t xml:space="preserve"> et indirecte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</w:p>
    <w:p w14:paraId="158FE55A" w14:textId="0A093F47" w:rsidR="00890324" w:rsidRDefault="00890324" w:rsidP="007768B0">
      <w:pPr>
        <w:rPr>
          <w:color w:val="92D050"/>
        </w:rPr>
      </w:pPr>
      <w:r>
        <w:rPr>
          <w:color w:val="92D050"/>
          <w:u w:val="single"/>
        </w:rPr>
        <w:t>Remarque :</w:t>
      </w:r>
    </w:p>
    <w:p w14:paraId="20B9C9CC" w14:textId="4F41ABAB" w:rsidR="00890324" w:rsidRPr="00890324" w:rsidRDefault="00890324" w:rsidP="00890324">
      <w:pPr>
        <w:pStyle w:val="Paragraphedeliste"/>
        <w:numPr>
          <w:ilvl w:val="0"/>
          <w:numId w:val="2"/>
        </w:numPr>
        <w:rPr>
          <w:color w:val="92D050"/>
        </w:rPr>
      </w:pPr>
      <m:oMath>
        <m:sSub>
          <m:sSubPr>
            <m:ctrlPr>
              <w:rPr>
                <w:rFonts w:ascii="Cambria Math" w:hAnsi="Cambria Math"/>
                <w:i/>
                <w:color w:val="92D050"/>
              </w:rPr>
            </m:ctrlPr>
          </m:sSubPr>
          <m:e>
            <m:r>
              <w:rPr>
                <w:rFonts w:ascii="Cambria Math" w:hAnsi="Cambria Math"/>
                <w:color w:val="92D050"/>
              </w:rPr>
              <m:t>B</m:t>
            </m:r>
          </m:e>
          <m:sub>
            <m:r>
              <w:rPr>
                <w:rFonts w:ascii="Cambria Math" w:hAnsi="Cambria Math"/>
                <w:color w:val="92D050"/>
              </w:rPr>
              <m:t>0</m:t>
            </m:r>
          </m:sub>
        </m:sSub>
      </m:oMath>
      <w:r>
        <w:rPr>
          <w:rFonts w:eastAsiaTheme="minorEastAsia"/>
          <w:color w:val="92D050"/>
        </w:rPr>
        <w:t xml:space="preserve"> est une base directe puisque </w:t>
      </w:r>
      <m:oMath>
        <m:r>
          <w:rPr>
            <w:rFonts w:ascii="Cambria Math" w:eastAsiaTheme="minorEastAsia" w:hAnsi="Cambria Math"/>
            <w:color w:val="92D050"/>
          </w:rPr>
          <m:t>Pas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∈S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4D81FE28" w14:textId="5EE08D6F" w:rsidR="00890324" w:rsidRPr="00407784" w:rsidRDefault="0089032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>L’ordre des élément</w:t>
      </w:r>
      <w:r w:rsidR="00407784">
        <w:rPr>
          <w:color w:val="92D050"/>
        </w:rPr>
        <w:t xml:space="preserve">s de la base orthonormée </w:t>
      </w:r>
      <m:oMath>
        <m:r>
          <w:rPr>
            <w:rFonts w:ascii="Cambria Math" w:hAnsi="Cambria Math"/>
            <w:color w:val="92D050"/>
          </w:rPr>
          <m:t>B</m:t>
        </m:r>
      </m:oMath>
      <w:r w:rsidR="00407784">
        <w:rPr>
          <w:color w:val="92D050"/>
        </w:rPr>
        <w:t xml:space="preserve"> est </w:t>
      </w:r>
      <w:r w:rsidR="00407784">
        <w:rPr>
          <w:color w:val="92D050"/>
          <w:u w:val="single"/>
        </w:rPr>
        <w:t>important</w:t>
      </w:r>
    </w:p>
    <w:p w14:paraId="50E3438C" w14:textId="52C11753" w:rsidR="00407784" w:rsidRPr="00407784" w:rsidRDefault="0040778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 xml:space="preserve">À partir d’une b.o.n </w:t>
      </w:r>
      <w:r>
        <w:rPr>
          <w:color w:val="92D050"/>
          <w:u w:val="single"/>
        </w:rPr>
        <w:t>indirecte</w:t>
      </w:r>
      <w:r>
        <w:rPr>
          <w:color w:val="92D050"/>
        </w:rPr>
        <w:t xml:space="preserve"> de </w:t>
      </w:r>
      <m:oMath>
        <m:r>
          <w:rPr>
            <w:rFonts w:ascii="Cambria Math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, on peut toujours construire une b.o.n directe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en multipliant l’un des vecteurs par </w:t>
      </w:r>
      <m:oMath>
        <m:r>
          <w:rPr>
            <w:rFonts w:ascii="Cambria Math" w:eastAsiaTheme="minorEastAsia" w:hAnsi="Cambria Math"/>
            <w:color w:val="92D050"/>
          </w:rPr>
          <m:t>-1</m:t>
        </m:r>
      </m:oMath>
      <w:r>
        <w:rPr>
          <w:rFonts w:eastAsiaTheme="minorEastAsia"/>
          <w:color w:val="92D050"/>
        </w:rPr>
        <w:t>.</w:t>
      </w:r>
    </w:p>
    <w:p w14:paraId="636FC5B9" w14:textId="6605EBBC" w:rsidR="00407784" w:rsidRDefault="00407784" w:rsidP="00D85B49">
      <w:pPr>
        <w:pStyle w:val="Paragraphedeliste"/>
        <w:ind w:left="1068"/>
      </w:pPr>
      <w:r w:rsidRPr="00407784">
        <w:t>Produit mixte</w:t>
      </w:r>
    </w:p>
    <w:p w14:paraId="2561B443" w14:textId="78CE2A09" w:rsidR="00407784" w:rsidRDefault="00407784" w:rsidP="00407784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 xml:space="preserve">E </m:t>
        </m:r>
      </m:oMath>
      <w:r>
        <w:rPr>
          <w:rFonts w:eastAsiaTheme="minorEastAsia"/>
        </w:rPr>
        <w:t xml:space="preserve">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7721ED63" w14:textId="77777777" w:rsidR="00444FE5" w:rsidRDefault="00407784" w:rsidP="00407784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famille de 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le déterminant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est le même dans n’importe quelle b.o.n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le nomme le produit mixte de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F37EA">
        <w:rPr>
          <w:rFonts w:eastAsiaTheme="minorEastAsia"/>
        </w:rPr>
        <w:t xml:space="preserve"> et on le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∀B</m:t>
        </m:r>
      </m:oMath>
      <w:r w:rsidR="00FF37EA">
        <w:rPr>
          <w:rFonts w:eastAsiaTheme="minorEastAsia"/>
        </w:rPr>
        <w:t xml:space="preserve"> b.o.n </w:t>
      </w:r>
      <w:r w:rsidR="00FF37EA" w:rsidRPr="00FF37EA">
        <w:rPr>
          <w:rFonts w:eastAsiaTheme="minorEastAsia"/>
          <w:u w:val="single"/>
        </w:rPr>
        <w:t>directe</w:t>
      </w:r>
      <w:r w:rsidR="00FF37E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FF37EA">
        <w:rPr>
          <w:rFonts w:eastAsiaTheme="minorEastAsia"/>
        </w:rPr>
        <w:t>.</w:t>
      </w:r>
    </w:p>
    <w:p w14:paraId="31EF58F2" w14:textId="77777777" w:rsidR="00585D2F" w:rsidRDefault="00585D2F">
      <w:pPr>
        <w:rPr>
          <w:rFonts w:eastAsiaTheme="minorEastAsia"/>
          <w:color w:val="92D050"/>
          <w:u w:val="single"/>
        </w:rPr>
      </w:pPr>
      <w:r>
        <w:rPr>
          <w:rFonts w:eastAsiaTheme="minorEastAsia"/>
          <w:color w:val="92D050"/>
          <w:u w:val="single"/>
        </w:rPr>
        <w:br w:type="page"/>
      </w:r>
    </w:p>
    <w:p w14:paraId="563B0619" w14:textId="0F89BB9E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</w:p>
    <w:p w14:paraId="688EC6A6" w14:textId="6F052B4A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Par propriétés des déterminants, on a :</w:t>
      </w:r>
    </w:p>
    <w:p w14:paraId="14399C13" w14:textId="00FB9C0B" w:rsidR="00585D2F" w:rsidRDefault="00585D2F" w:rsidP="00407784">
      <w:pPr>
        <w:rPr>
          <w:rFonts w:eastAsiaTheme="minorEastAsia"/>
          <w:color w:val="92D05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92D050"/>
          </w:rPr>
          <m:t>=0⟺</m:t>
        </m:r>
      </m:oMath>
      <w:r>
        <w:rPr>
          <w:rFonts w:eastAsiaTheme="minorEastAsia"/>
          <w:color w:val="92D050"/>
        </w:rPr>
        <w:t xml:space="preserve"> la famille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92D050"/>
        </w:rPr>
        <w:t xml:space="preserve"> est liée</w:t>
      </w:r>
    </w:p>
    <w:p w14:paraId="7B0E5298" w14:textId="77777777" w:rsidR="00585D2F" w:rsidRDefault="00585D2F" w:rsidP="00407784">
      <w:pPr>
        <w:rPr>
          <w:rFonts w:eastAsiaTheme="minorEastAsia"/>
          <w:color w:val="92D050"/>
        </w:rPr>
      </w:pPr>
    </w:p>
    <w:p w14:paraId="24CAD56E" w14:textId="4FA16880" w:rsidR="00585D2F" w:rsidRPr="00D85B49" w:rsidRDefault="00D85B49" w:rsidP="00D85B4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Classification des isométries en dimension 2</w:t>
      </w:r>
    </w:p>
    <w:p w14:paraId="7E302E1E" w14:textId="7F46B8E5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Dans toute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2.</w:t>
      </w:r>
    </w:p>
    <w:p w14:paraId="6A107FCF" w14:textId="72D7EDEE" w:rsidR="00D85B49" w:rsidRDefault="00D85B49" w:rsidP="00D85B4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Rotation du plan orienté</w:t>
      </w:r>
    </w:p>
    <w:p w14:paraId="0DC7B28B" w14:textId="4CFE5770" w:rsidR="00D85B49" w:rsidRDefault="00D85B49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Une isométrie directe du plan orienté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même matrice dans n’importe quelle base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Plus précisément, il existe un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unique modulo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∀B</m:t>
        </m:r>
      </m:oMath>
      <w:r>
        <w:rPr>
          <w:rFonts w:eastAsiaTheme="minorEastAsia"/>
        </w:rPr>
        <w:t xml:space="preserve"> b.o.n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00289B56" w14:textId="6D6460D7" w:rsidR="00D85B49" w:rsidRPr="00D85B49" w:rsidRDefault="00D85B49" w:rsidP="00D85B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0284AC51" w14:textId="6A9547F8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et on la note </w:t>
      </w:r>
      <m:oMath>
        <m:r>
          <w:rPr>
            <w:rFonts w:ascii="Cambria Math" w:eastAsiaTheme="minorEastAsia" w:hAnsi="Cambria Math"/>
          </w:rPr>
          <m:t>u=Ro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14:paraId="2557D3B7" w14:textId="1F05F90B" w:rsidR="00D85B49" w:rsidRDefault="00D85B49" w:rsidP="00D85B4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comprendre l’unicité modulo </w:t>
      </w:r>
      <m:oMath>
        <m:r>
          <w:rPr>
            <w:rFonts w:ascii="Cambria Math" w:eastAsiaTheme="minorEastAsia" w:hAnsi="Cambria Math"/>
            <w:color w:val="92D050"/>
          </w:rPr>
          <m:t>2π</m:t>
        </m:r>
      </m:oMath>
      <w:r>
        <w:rPr>
          <w:rFonts w:eastAsiaTheme="minorEastAsia"/>
          <w:color w:val="92D050"/>
        </w:rPr>
        <w:t xml:space="preserve"> comme suit, si </w:t>
      </w:r>
      <m:oMath>
        <m:r>
          <w:rPr>
            <w:rFonts w:ascii="Cambria Math" w:eastAsiaTheme="minorEastAsia" w:hAnsi="Cambria Math"/>
            <w:color w:val="92D050"/>
          </w:rPr>
          <m:t>∃θ,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∈R</m:t>
        </m:r>
      </m:oMath>
      <w:r>
        <w:rPr>
          <w:rFonts w:eastAsiaTheme="minorEastAsia"/>
          <w:color w:val="92D05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θ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2D05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'</m:t>
                </m:r>
              </m:sup>
            </m:sSup>
          </m:sub>
        </m:sSub>
      </m:oMath>
      <w:r>
        <w:rPr>
          <w:rFonts w:eastAsiaTheme="minorEastAsia"/>
          <w:color w:val="92D050"/>
        </w:rPr>
        <w:t xml:space="preserve"> alors </w:t>
      </w:r>
    </w:p>
    <w:p w14:paraId="1C7844FA" w14:textId="31FFB232" w:rsidR="00D85B49" w:rsidRPr="003146E3" w:rsidRDefault="00D85B49" w:rsidP="00D85B49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θ≡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2D050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92D05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2π</m:t>
              </m:r>
            </m:e>
          </m:d>
        </m:oMath>
      </m:oMathPara>
    </w:p>
    <w:p w14:paraId="7AE0E333" w14:textId="77777777" w:rsidR="003146E3" w:rsidRPr="00D85B49" w:rsidRDefault="003146E3" w:rsidP="00D85B49">
      <w:pPr>
        <w:rPr>
          <w:rFonts w:eastAsiaTheme="minorEastAsia"/>
          <w:color w:val="92D050"/>
        </w:rPr>
      </w:pPr>
    </w:p>
    <w:sectPr w:rsidR="003146E3" w:rsidRPr="00D85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7E68"/>
    <w:multiLevelType w:val="hybridMultilevel"/>
    <w:tmpl w:val="60147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7048"/>
    <w:multiLevelType w:val="hybridMultilevel"/>
    <w:tmpl w:val="F3025898"/>
    <w:lvl w:ilvl="0" w:tplc="BBB80C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8850372">
    <w:abstractNumId w:val="1"/>
  </w:num>
  <w:num w:numId="2" w16cid:durableId="36688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5E"/>
    <w:rsid w:val="0009223C"/>
    <w:rsid w:val="00193C8D"/>
    <w:rsid w:val="002F4044"/>
    <w:rsid w:val="003146E3"/>
    <w:rsid w:val="00407784"/>
    <w:rsid w:val="00436D0C"/>
    <w:rsid w:val="00444FE5"/>
    <w:rsid w:val="00585D2F"/>
    <w:rsid w:val="00756B22"/>
    <w:rsid w:val="007768B0"/>
    <w:rsid w:val="00890324"/>
    <w:rsid w:val="00D83C5E"/>
    <w:rsid w:val="00D85B49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D46D"/>
  <w15:chartTrackingRefBased/>
  <w15:docId w15:val="{39D0F8FE-4693-4D9B-A3A1-F4D4892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C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3C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3C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3C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C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C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C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3C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3C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3C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3C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3C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3C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3C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3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3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3C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3C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3C5E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768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2024-03-13T10:51:00Z</dcterms:created>
  <dcterms:modified xsi:type="dcterms:W3CDTF">2024-03-13T11:45:00Z</dcterms:modified>
</cp:coreProperties>
</file>