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9338" w14:textId="79E714DD" w:rsidR="0009223C" w:rsidRPr="008119EE" w:rsidRDefault="008119EE" w:rsidP="008119EE">
      <w:pPr>
        <w:jc w:val="center"/>
        <w:rPr>
          <w:b/>
          <w:bCs/>
          <w:sz w:val="30"/>
          <w:szCs w:val="30"/>
          <w:u w:val="single"/>
        </w:rPr>
      </w:pPr>
      <w:r w:rsidRPr="008119EE">
        <w:rPr>
          <w:b/>
          <w:bCs/>
          <w:sz w:val="30"/>
          <w:szCs w:val="30"/>
          <w:u w:val="single"/>
        </w:rPr>
        <w:t>Chapitre 5 – Application de la réduction des endomorphismes et des matrices</w:t>
      </w:r>
    </w:p>
    <w:p w14:paraId="0DC0FB98" w14:textId="2EEEC301" w:rsidR="008119EE" w:rsidRDefault="008119EE" w:rsidP="008119EE">
      <w:pPr>
        <w:rPr>
          <w:b/>
          <w:bCs/>
        </w:rPr>
      </w:pPr>
      <w:r>
        <w:rPr>
          <w:b/>
          <w:bCs/>
        </w:rPr>
        <w:t>Systèmes récurrents linéaires</w:t>
      </w:r>
    </w:p>
    <w:p w14:paraId="13A21392" w14:textId="0238381E" w:rsidR="008A4556" w:rsidRDefault="008A4556" w:rsidP="008119EE">
      <w:pPr>
        <w:rPr>
          <w:b/>
          <w:bCs/>
        </w:rPr>
      </w:pPr>
      <w:r>
        <w:rPr>
          <w:b/>
          <w:bCs/>
          <w:u w:val="single"/>
        </w:rPr>
        <w:t>Exponentielle d’endomorphisme et de matrices</w:t>
      </w:r>
    </w:p>
    <w:p w14:paraId="041A43E0" w14:textId="4F6B323F" w:rsidR="008A4556" w:rsidRDefault="008A4556" w:rsidP="008A4556">
      <w:pPr>
        <w:pStyle w:val="Paragraphedeliste"/>
        <w:numPr>
          <w:ilvl w:val="0"/>
          <w:numId w:val="1"/>
        </w:numPr>
      </w:pPr>
      <w:r>
        <w:t>Suites et séries de matrices</w:t>
      </w:r>
    </w:p>
    <w:p w14:paraId="028FE853" w14:textId="5542717B" w:rsidR="008A4556" w:rsidRDefault="008A4556" w:rsidP="008A4556">
      <w:pPr>
        <w:pStyle w:val="Paragraphedeliste"/>
        <w:rPr>
          <w:rFonts w:eastAsiaTheme="minorEastAsia"/>
        </w:rPr>
      </w:pPr>
      <w:r>
        <w:rPr>
          <w:u w:val="single"/>
        </w:rPr>
        <w:t>Définition :</w:t>
      </w:r>
      <w:r>
        <w:t xml:space="preserve"> Pour une matrice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notons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coefficient d’indice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de la matrice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dit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la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la suite scalaire </w:t>
      </w:r>
    </w:p>
    <w:p w14:paraId="6B0D2196" w14:textId="02913375" w:rsidR="008A4556" w:rsidRDefault="00347060" w:rsidP="008A4556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A4556">
        <w:rPr>
          <w:rFonts w:eastAsiaTheme="minorEastAsia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648E441C" w14:textId="1BD8AB26" w:rsidR="008A4556" w:rsidRDefault="008A4556" w:rsidP="008A455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1≤i,j≤n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func>
      </m:oMath>
    </w:p>
    <w:p w14:paraId="0396BB7A" w14:textId="77777777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19C858F7" w14:textId="77777777" w:rsidR="00FB49A6" w:rsidRDefault="00347060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1≤i,j≤n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14:paraId="3CD42776" w14:textId="5ADA211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3F91443C" w14:textId="5DEC5E6F" w:rsidR="00FB49A6" w:rsidRPr="00FB49A6" w:rsidRDefault="00347060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8121A0E" w14:textId="1EBA50E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A partir de cet encadrement :</w:t>
      </w:r>
    </w:p>
    <w:p w14:paraId="747C5615" w14:textId="0B5CC708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</w:t>
      </w:r>
    </w:p>
    <w:p w14:paraId="6442E06F" w14:textId="52DC97ED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410F74E4" w14:textId="5188F7E1" w:rsidR="00FB49A6" w:rsidRDefault="00FB49A6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 </w:t>
      </w:r>
      <m:oMath>
        <m:r>
          <w:rPr>
            <w:rFonts w:ascii="Cambria Math" w:eastAsiaTheme="minorEastAsia" w:hAnsi="Cambria Math"/>
          </w:rPr>
          <m:t>A</m:t>
        </m:r>
      </m:oMath>
    </w:p>
    <w:p w14:paraId="52D16068" w14:textId="6152D451" w:rsidR="00FB49A6" w:rsidRDefault="00347060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k→+∞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4EFCEF43" w14:textId="77777777" w:rsidR="00FB49A6" w:rsidRP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où </w:t>
      </w:r>
    </w:p>
    <w:p w14:paraId="6622B56A" w14:textId="398B7BA5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∀k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A52B0DD" w14:textId="63161153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C7D0465" w14:textId="68BB4D12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dit que la série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si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une matrice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 La matrice S est</w:t>
      </w:r>
      <w:r w:rsidR="00347060">
        <w:rPr>
          <w:rFonts w:eastAsiaTheme="minorEastAsia"/>
        </w:rPr>
        <w:t xml:space="preserve"> </w:t>
      </w:r>
      <w:r>
        <w:rPr>
          <w:rFonts w:eastAsiaTheme="minorEastAsia"/>
        </w:rPr>
        <w:t>alors appelé</w:t>
      </w:r>
      <w:r w:rsidR="00347060">
        <w:rPr>
          <w:rFonts w:eastAsiaTheme="minorEastAsia"/>
        </w:rPr>
        <w:t>e</w:t>
      </w:r>
      <w:r>
        <w:rPr>
          <w:rFonts w:eastAsiaTheme="minorEastAsia"/>
        </w:rPr>
        <w:t xml:space="preserve"> somme de la série et notée :</w:t>
      </w:r>
    </w:p>
    <w:p w14:paraId="701123FC" w14:textId="502A9F66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D6F7B4B" w14:textId="5755E39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Si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nary>
      </m:oMath>
      <w:r>
        <w:rPr>
          <w:rFonts w:eastAsiaTheme="minorEastAsia"/>
        </w:rPr>
        <w:t xml:space="preserve"> converge, alors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 également. On dit que la série est absolument convergente.</w:t>
      </w:r>
    </w:p>
    <w:p w14:paraId="72264CD2" w14:textId="24569A19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Lemme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. Par récurrence, on en déduit :</w:t>
      </w:r>
    </w:p>
    <w:p w14:paraId="412577B0" w14:textId="7576EF42" w:rsidR="00FB49A6" w:rsidRPr="00FB49A6" w:rsidRDefault="00FB49A6" w:rsidP="00FB49A6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</m:oMath>
      </m:oMathPara>
    </w:p>
    <w:p w14:paraId="158AA5A1" w14:textId="1E9126A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</m:oMath>
      <w:r>
        <w:rPr>
          <w:rFonts w:eastAsiaTheme="minorEastAsia"/>
        </w:rPr>
        <w:t xml:space="preserve"> Converge absolument.</w:t>
      </w:r>
    </w:p>
    <w:p w14:paraId="291F3682" w14:textId="0F829A5A" w:rsidR="00FB49A6" w:rsidRPr="00FB49A6" w:rsidRDefault="00FB49A6" w:rsidP="00FB49A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Exponentielle de matrices</w:t>
      </w:r>
    </w:p>
    <w:p w14:paraId="5621C196" w14:textId="08A4D4C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ou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par :</w:t>
      </w:r>
    </w:p>
    <w:p w14:paraId="50907E13" w14:textId="6C6522D3" w:rsidR="00FB49A6" w:rsidRPr="00FB49A6" w:rsidRDefault="00347060" w:rsidP="00FB49A6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(K)</m:t>
          </m:r>
        </m:oMath>
      </m:oMathPara>
    </w:p>
    <w:p w14:paraId="3C6A9F02" w14:textId="4E81781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 xml:space="preserve">Propriété :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  <w:u w:val="single"/>
          </w:rPr>
          <m:t>AB=BA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8D857BE" w14:textId="3E46615D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utilise le binôme de Newton pour séparer, puis le produit de Cauchy pour rassembler.</w:t>
      </w:r>
    </w:p>
    <w:p w14:paraId="297DA3D0" w14:textId="10DD516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est inversible, d’inverse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</m:oMath>
    </w:p>
    <w:p w14:paraId="42249F12" w14:textId="290468D4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-A</m:t>
        </m:r>
      </m:oMath>
      <w:r>
        <w:rPr>
          <w:rFonts w:eastAsiaTheme="minorEastAsia"/>
          <w:color w:val="FF3399"/>
        </w:rPr>
        <w:t xml:space="preserve"> commutent,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-A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21E4ACFB" w14:textId="429449B6" w:rsidR="00FB49A6" w:rsidRDefault="002974AD" w:rsidP="00FB49A6">
      <w:pPr>
        <w:pStyle w:val="Paragraphedeliste"/>
        <w:rPr>
          <w:rFonts w:eastAsiaTheme="minorEastAsia"/>
        </w:rPr>
      </w:pPr>
      <w:r w:rsidRPr="002974AD">
        <w:rPr>
          <w:rFonts w:eastAsiaTheme="minorEastAsia"/>
          <w:u w:val="single"/>
        </w:rPr>
        <w:t>Propriété :</w:t>
      </w:r>
      <w:r w:rsidRPr="002974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P</m:t>
        </m:r>
      </m:oMath>
    </w:p>
    <w:p w14:paraId="7D214A8F" w14:textId="775EF76C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a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3399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N→+∞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P</m:t>
        </m:r>
      </m:oMath>
    </w:p>
    <w:p w14:paraId="690417C7" w14:textId="60D4065A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Car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P-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k!</m:t>
                        </m:r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0</m:t>
        </m:r>
      </m:oMath>
    </w:p>
    <w:p w14:paraId="675CF66B" w14:textId="06AE5ED6" w:rsidR="002974A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3E64283E" w14:textId="0E9EF8DF" w:rsidR="00501AB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∀1≤i≤p, ∀1≤j≤q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2CA3042" w14:textId="7BD169D7" w:rsidR="00501ABD" w:rsidRPr="00501ABD" w:rsidRDefault="00347060" w:rsidP="002974AD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⟺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t≠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existe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</m:oMath>
      </m:oMathPara>
    </w:p>
    <w:p w14:paraId="4C402FAC" w14:textId="3C3CD075" w:rsidR="00501ABD" w:rsidRP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note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2FDC6100" w14:textId="303A2B4F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en tout point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7DC75F4A" w14:textId="05066251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  <w:iCs/>
        </w:rPr>
        <w:t>et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  <w:iCs/>
        </w:rPr>
        <w:t xml:space="preserve"> sont dérivables, alors 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  <w:iCs/>
        </w:rPr>
        <w:t xml:space="preserve"> l’est aussi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2BC5CC99" w14:textId="1E84ED9C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p,q,n∈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et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 w:rsidR="00D807CE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D807CE">
        <w:rPr>
          <w:rFonts w:eastAsiaTheme="minorEastAsia"/>
          <w:iCs/>
        </w:rPr>
        <w:t xml:space="preserve"> sont dérivables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807CE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A×B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 aussi et </w:t>
      </w:r>
    </w:p>
    <w:p w14:paraId="7DA0CA19" w14:textId="7F5BAECB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A×B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EA51AAB" w14:textId="5E1FEB99" w:rsidR="00D807CE" w:rsidRDefault="00D807CE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La fonction </w:t>
      </w:r>
      <m:oMath>
        <m: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:R→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(tA)</m:t>
            </m:r>
          </m:e>
        </m:func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</w:p>
    <w:p w14:paraId="15CFB0E8" w14:textId="5AEE3463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(tA)</m:t>
              </m:r>
            </m:e>
          </m:func>
        </m:oMath>
      </m:oMathPara>
    </w:p>
    <w:p w14:paraId="10270572" w14:textId="3CDCD8A1" w:rsidR="00D807CE" w:rsidRPr="00D807CE" w:rsidRDefault="00D807CE" w:rsidP="00D807CE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Exponentielle d’endomorphisme</w:t>
      </w:r>
    </w:p>
    <w:p w14:paraId="73703BF1" w14:textId="1E3A1073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deux matrices semblables,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  <w:iCs/>
        </w:rPr>
        <w:t xml:space="preserve"> sont aussi semblables.</w:t>
      </w:r>
    </w:p>
    <w:p w14:paraId="71BF9C4C" w14:textId="0C20E67F" w:rsidR="00D807CE" w:rsidRDefault="00D807CE" w:rsidP="00D807CE">
      <w:pPr>
        <w:pStyle w:val="Paragraphedeliste"/>
        <w:rPr>
          <w:rFonts w:eastAsiaTheme="minorEastAsia"/>
          <w:iCs/>
        </w:rPr>
      </w:pPr>
      <w:r w:rsidRPr="00D807CE">
        <w:rPr>
          <w:rFonts w:eastAsiaTheme="minorEastAsia"/>
          <w:iCs/>
          <w:u w:val="single"/>
        </w:rPr>
        <w:t>Définition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et $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>
        <w:rPr>
          <w:rFonts w:eastAsiaTheme="minorEastAsia"/>
          <w:iCs/>
        </w:rPr>
        <w:t xml:space="preserve">, comme l’unique endomorphisme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dont la matrice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75C7673" w14:textId="427BDC06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u, 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  <w:iCs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(u+v)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∘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</m:oMath>
    </w:p>
    <w:p w14:paraId="017C5151" w14:textId="4EE23E74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∘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func>
      </m:oMath>
    </w:p>
    <w:p w14:paraId="1A363461" w14:textId="0A15C01A" w:rsidR="00D807CE" w:rsidRDefault="00D807CE" w:rsidP="00D807CE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</w:rPr>
        <w:t xml:space="preserve">III) </w:t>
      </w:r>
      <w:r w:rsidRPr="00D807CE">
        <w:rPr>
          <w:rFonts w:eastAsiaTheme="minorEastAsia"/>
          <w:b/>
          <w:bCs/>
          <w:iCs/>
          <w:u w:val="single"/>
        </w:rPr>
        <w:t>Systèmes</w:t>
      </w:r>
      <w:r>
        <w:rPr>
          <w:rFonts w:eastAsiaTheme="minorEastAsia"/>
          <w:b/>
          <w:bCs/>
          <w:iCs/>
          <w:u w:val="single"/>
        </w:rPr>
        <w:t xml:space="preserve"> différentiels linéaires à coefficients constants</w:t>
      </w:r>
    </w:p>
    <w:p w14:paraId="1F75F49A" w14:textId="65536EE8" w:rsidR="00D807CE" w:rsidRPr="00564274" w:rsidRDefault="00D807CE" w:rsidP="00D807CE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homogènes</w:t>
      </w:r>
    </w:p>
    <w:p w14:paraId="29DC98D1" w14:textId="123D61DE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On s’intéresse à des systèmes d’équations différentielles linéaires de la forme suivante :</w:t>
      </w:r>
    </w:p>
    <w:p w14:paraId="002AED76" w14:textId="32A8DA37" w:rsidR="00564274" w:rsidRPr="00564274" w:rsidRDefault="00347060" w:rsidP="00564274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261F8393" w14:textId="0793351C" w:rsidR="00564274" w:rsidRP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Avec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∈K=R </m:t>
        </m:r>
        <m:r>
          <m:rPr>
            <m:sty m:val="p"/>
          </m:rPr>
          <w:rPr>
            <w:rFonts w:ascii="Cambria Math" w:eastAsiaTheme="minorEastAsia" w:hAnsi="Cambria Math"/>
          </w:rPr>
          <m:t>ou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C</m:t>
        </m:r>
      </m:oMath>
    </w:p>
    <w:p w14:paraId="04C7B9D6" w14:textId="7BBF44E6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d’inconnues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 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:R→K</m:t>
        </m:r>
      </m:oMath>
      <w:r>
        <w:rPr>
          <w:rFonts w:eastAsiaTheme="minorEastAsia"/>
          <w:iCs/>
        </w:rPr>
        <w:t xml:space="preserve"> dérivables</w:t>
      </w:r>
    </w:p>
    <w:p w14:paraId="20E5A9A3" w14:textId="6079C26A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:R→K</m:t>
        </m:r>
      </m:oMath>
      <w:r>
        <w:rPr>
          <w:rFonts w:eastAsiaTheme="minorEastAsia"/>
          <w:iCs/>
        </w:rPr>
        <w:t xml:space="preserve"> dérivables. Posons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définie par </w:t>
      </w:r>
    </w:p>
    <w:p w14:paraId="1E171A09" w14:textId="1C022309" w:rsidR="00564274" w:rsidRPr="00564274" w:rsidRDefault="00564274" w:rsidP="00564274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</m:m>
            </m:e>
          </m:d>
        </m:oMath>
      </m:oMathPara>
    </w:p>
    <w:p w14:paraId="73C409F4" w14:textId="56805A62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la fonction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on a l’équivalence :</w:t>
      </w:r>
    </w:p>
    <w:p w14:paraId="5CA4BB9F" w14:textId="1E9B2C89" w:rsidR="00564274" w:rsidRDefault="00347060" w:rsidP="00564274">
      <w:pPr>
        <w:pStyle w:val="Paragraphedeliste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4274">
        <w:rPr>
          <w:rFonts w:eastAsiaTheme="minorEastAsia"/>
          <w:iCs/>
        </w:rPr>
        <w:t xml:space="preserve"> sont solutions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DBA02F0" w14:textId="5859C935" w:rsidR="00564274" w:rsidRPr="00564274" w:rsidRDefault="00564274" w:rsidP="00564274">
      <w:pPr>
        <w:pStyle w:val="Paragraphedeliste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18A8369" w14:textId="36D586D2" w:rsidR="003D0CB1" w:rsidRDefault="00564274" w:rsidP="003D0CB1">
      <w:pPr>
        <w:pStyle w:val="Paragraphedeliste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, où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eastAsia="MS Mincho" w:hAnsi="Cambria Math" w:cs="MS Mincho"/>
                <w:i/>
                <w:iCs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M</m:t>
            </m:r>
          </m:e>
          <m:sub>
            <m:r>
              <w:rPr>
                <w:rFonts w:ascii="Cambria Math" w:eastAsia="MS Mincho" w:hAnsi="Cambria Math" w:cs="MS Mincho"/>
              </w:rPr>
              <m:t>n</m:t>
            </m:r>
          </m:sub>
        </m:sSub>
        <m:r>
          <m:rPr>
            <m:scr m:val="double-struck"/>
          </m:rPr>
          <w:rPr>
            <w:rFonts w:ascii="Cambria Math" w:eastAsia="MS Mincho" w:hAnsi="Cambria Math" w:cs="MS Mincho"/>
          </w:rPr>
          <m:t>(K)</m:t>
        </m:r>
      </m:oMath>
    </w:p>
    <w:p w14:paraId="60A9A951" w14:textId="22F50857" w:rsidR="003D0CB1" w:rsidRDefault="003D0CB1" w:rsidP="003D0CB1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. Les assertions suivantes sont équivalentes :</w:t>
      </w:r>
    </w:p>
    <w:p w14:paraId="1735E321" w14:textId="1018D26C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D4C0B6D" w14:textId="6FC5DC4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</w:t>
      </w:r>
    </w:p>
    <w:p w14:paraId="1219E445" w14:textId="205AC8B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ACFDC2B" w14:textId="4304A8DE" w:rsidR="003D0CB1" w:rsidRDefault="003D0CB1" w:rsidP="003D0CB1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Il existe une unique solution au problème de Cauchy suivant :</w:t>
      </w:r>
    </w:p>
    <w:bookmarkStart w:id="0" w:name="_Hlk151391823"/>
    <w:p w14:paraId="3BB0A7D0" w14:textId="6CCC246E" w:rsidR="003D0CB1" w:rsidRPr="003D0CB1" w:rsidRDefault="00347060" w:rsidP="003D0CB1">
      <w:pPr>
        <w:ind w:left="708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 xml:space="preserve">∈R,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bookmarkEnd w:id="0"/>
    <w:p w14:paraId="28A737DE" w14:textId="55FD925C" w:rsidR="003D0CB1" w:rsidRDefault="003D0CB1" w:rsidP="003D0CB1">
      <w:pPr>
        <w:ind w:left="708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  <w:u w:val="single"/>
        </w:rPr>
        <w:t xml:space="preserve">Démonstration : </w:t>
      </w:r>
    </w:p>
    <w:p w14:paraId="121F0F40" w14:textId="7A320194" w:rsidR="003D0CB1" w:rsidRPr="003D0CB1" w:rsidRDefault="00347060" w:rsidP="003D0CB1">
      <w:pPr>
        <w:ind w:left="708"/>
        <w:rPr>
          <w:rFonts w:eastAsiaTheme="minorEastAsia"/>
          <w:iCs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∈R,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80C3BD8" w14:textId="3ADAA421" w:rsidR="003D0CB1" w:rsidRPr="00017BB0" w:rsidRDefault="003D0CB1" w:rsidP="003D0CB1">
      <w:pPr>
        <w:jc w:val="center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∈R, </m:t>
                  </m:r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B4890B4" w14:textId="3BECB666" w:rsidR="00017BB0" w:rsidRDefault="00017BB0" w:rsidP="00017BB0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non homogènes</w:t>
      </w:r>
    </w:p>
    <w:p w14:paraId="39FA2AE2" w14:textId="4810E96C" w:rsidR="00017BB0" w:rsidRDefault="00017BB0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Dans cette partie, on s’intéresse aux systèmes du type :</w:t>
      </w:r>
    </w:p>
    <w:p w14:paraId="2CF5D84C" w14:textId="55B7B34E" w:rsidR="00017BB0" w:rsidRPr="000E090D" w:rsidRDefault="00347060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7E471E8" w14:textId="40B2D88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V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et d’inconnue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</w:t>
      </w:r>
    </w:p>
    <w:p w14:paraId="43C80EE3" w14:textId="63DEBAC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Notons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  <w:iCs/>
        </w:rPr>
        <w:t xml:space="preserve"> le système homogène associé.</w:t>
      </w:r>
    </w:p>
    <w:p w14:paraId="5B9D4738" w14:textId="6B20DA88" w:rsidR="000E090D" w:rsidRPr="000E090D" w:rsidRDefault="00347060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EEED09C" w14:textId="25880D44" w:rsidR="000E090D" w:rsidRDefault="000E090D" w:rsidP="000E090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=A∙X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et </w:t>
      </w:r>
    </w:p>
    <w:p w14:paraId="7711C393" w14:textId="4C3BC30E" w:rsidR="000E090D" w:rsidRDefault="000E090D" w:rsidP="000E090D">
      <w:pPr>
        <w:pStyle w:val="Paragraphedeliste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 On a l’équivalence : </w:t>
      </w:r>
    </w:p>
    <w:p w14:paraId="1C90303D" w14:textId="221B49D1" w:rsidR="000E090D" w:rsidRPr="005E14E4" w:rsidRDefault="000E090D" w:rsidP="000E090D">
      <w:pPr>
        <w:pStyle w:val="Paragraphedeliste"/>
        <w:rPr>
          <w:rFonts w:eastAsiaTheme="minorEastAsia"/>
          <w:i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est solution de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tq </m:t>
          </m:r>
          <m:r>
            <w:rPr>
              <w:rFonts w:ascii="Cambria Math" w:eastAsiaTheme="minorEastAsia" w:hAnsi="Cambria Math"/>
              <w:lang w:val="en-GB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 xml:space="preserve">∈R, </m:t>
          </m:r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tA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</m:oMath>
      </m:oMathPara>
    </w:p>
    <w:p w14:paraId="0968C301" w14:textId="2A667B8E" w:rsidR="005E14E4" w:rsidRDefault="005E14E4" w:rsidP="005E14E4">
      <w:pPr>
        <w:pStyle w:val="Paragraphedeliste"/>
        <w:rPr>
          <w:rFonts w:eastAsiaTheme="minorEastAsia"/>
          <w:iCs/>
        </w:rPr>
      </w:pPr>
      <w:r w:rsidRPr="005E14E4"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Pr="005E14E4">
        <w:rPr>
          <w:rFonts w:eastAsiaTheme="minorEastAsia"/>
          <w:iCs/>
        </w:rPr>
        <w:t xml:space="preserve"> es</w:t>
      </w:r>
      <w:r>
        <w:rPr>
          <w:rFonts w:eastAsiaTheme="minorEastAsia"/>
          <w:iCs/>
        </w:rPr>
        <w:t xml:space="preserve">t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  <w:iCs/>
        </w:rPr>
        <w:t>.</w:t>
      </w:r>
    </w:p>
    <w:p w14:paraId="3A9891DB" w14:textId="77777777" w:rsidR="005E14E4" w:rsidRDefault="005E14E4" w:rsidP="005E14E4">
      <w:pPr>
        <w:pStyle w:val="Paragraphedeliste"/>
        <w:rPr>
          <w:rFonts w:eastAsiaTheme="minorEastAsia"/>
          <w:iCs/>
        </w:rPr>
      </w:pPr>
    </w:p>
    <w:p w14:paraId="13E989E1" w14:textId="7C77FDEE" w:rsidR="005E14E4" w:rsidRDefault="005E14E4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iCs/>
          <w:color w:val="00B050"/>
          <w:u w:val="single"/>
        </w:rPr>
        <w:t>Remarque :</w:t>
      </w:r>
      <w:r>
        <w:t xml:space="preserve"> </w:t>
      </w:r>
      <w:r>
        <w:rPr>
          <w:color w:val="00B050"/>
        </w:rPr>
        <w:t xml:space="preserve">Si </w:t>
      </w:r>
      <m:oMath>
        <m:r>
          <w:rPr>
            <w:rFonts w:ascii="Cambria Math" w:hAnsi="Cambria Math"/>
            <w:color w:val="00B050"/>
          </w:rPr>
          <m:t>V=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</m:m>
          </m:e>
        </m:d>
        <m:r>
          <w:rPr>
            <w:rFonts w:ascii="Cambria Math" w:hAnsi="Cambria Math"/>
            <w:color w:val="00B050"/>
          </w:rPr>
          <m:t xml:space="preserve">  </m:t>
        </m:r>
      </m:oMath>
      <w:r>
        <w:rPr>
          <w:rFonts w:eastAsiaTheme="minorEastAsia"/>
          <w:color w:val="00B050"/>
        </w:rPr>
        <w:t xml:space="preserve">a une expression particulière, par ex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</m:t>
        </m:r>
      </m:oMath>
      <w:r>
        <w:rPr>
          <w:rFonts w:eastAsiaTheme="minorEastAsia"/>
          <w:color w:val="00B050"/>
        </w:rPr>
        <w:t xml:space="preserve">est une fonction polynomiale, </w:t>
      </w:r>
      <w:r>
        <w:rPr>
          <w:rFonts w:eastAsiaTheme="minorEastAsia"/>
          <w:color w:val="00B050"/>
          <w:u w:val="single"/>
        </w:rPr>
        <w:t>ou</w:t>
      </w:r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</m:oMath>
      <w:r>
        <w:rPr>
          <w:rFonts w:eastAsiaTheme="minorEastAsia"/>
          <w:color w:val="00B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∈K</m:t>
        </m:r>
      </m:oMath>
      <w:r>
        <w:rPr>
          <w:rFonts w:eastAsiaTheme="minorEastAsia"/>
          <w:color w:val="00B050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:t↦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sup>
        </m:sSup>
      </m:oMath>
    </w:p>
    <w:p w14:paraId="6CC1F97E" w14:textId="44A47E09" w:rsidR="005E14E4" w:rsidRDefault="005E14E4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iCs/>
          <w:color w:val="00B050"/>
        </w:rPr>
        <w:tab/>
      </w:r>
      <w:r>
        <w:rPr>
          <w:rFonts w:eastAsiaTheme="minorEastAsia"/>
          <w:iCs/>
          <w:color w:val="00B050"/>
        </w:rPr>
        <w:tab/>
        <w:t xml:space="preserve">            </w:t>
      </w:r>
      <w:r>
        <w:rPr>
          <w:rFonts w:eastAsiaTheme="minorEastAsia"/>
          <w:iCs/>
          <w:color w:val="00B050"/>
          <w:u w:val="single"/>
        </w:rPr>
        <w:t xml:space="preserve">ou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</m:oMath>
      <w:r>
        <w:rPr>
          <w:rFonts w:eastAsiaTheme="minorEastAsia"/>
          <w:color w:val="00B050"/>
        </w:rPr>
        <w:t xml:space="preserve"> s’écrit à l’aide de cos ou sin</w:t>
      </w:r>
    </w:p>
    <w:p w14:paraId="623221C4" w14:textId="0C339C79" w:rsidR="005E14E4" w:rsidRDefault="005E14E4" w:rsidP="005E14E4">
      <w:pPr>
        <w:pStyle w:val="Paragraphedeliste"/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On essaie alors de chercher une solution particulière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iCs/>
          <w:color w:val="00B050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iCs/>
          <w:color w:val="00B050"/>
        </w:rPr>
        <w:t xml:space="preserve"> sous la même forme que </w:t>
      </w:r>
      <m:oMath>
        <m:r>
          <w:rPr>
            <w:rFonts w:ascii="Cambria Math" w:eastAsiaTheme="minorEastAsia" w:hAnsi="Cambria Math"/>
            <w:color w:val="00B050"/>
          </w:rPr>
          <m:t>V</m:t>
        </m:r>
      </m:oMath>
      <w:r>
        <w:rPr>
          <w:rFonts w:eastAsiaTheme="minorEastAsia"/>
          <w:iCs/>
          <w:color w:val="00B050"/>
        </w:rPr>
        <w:t>.</w:t>
      </w:r>
    </w:p>
    <w:p w14:paraId="1CE80241" w14:textId="593DA0E5" w:rsidR="005E14E4" w:rsidRDefault="005E14E4" w:rsidP="005E14E4">
      <w:pPr>
        <w:pStyle w:val="Paragraphedeliste"/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Sinon, on commence par résoudre le système homogène associé à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iCs/>
          <w:color w:val="00B050"/>
        </w:rPr>
        <w:t>.</w:t>
      </w:r>
    </w:p>
    <w:p w14:paraId="6C2682CD" w14:textId="23C89427" w:rsidR="005E14E4" w:rsidRPr="006C22A5" w:rsidRDefault="00347060" w:rsidP="005E14E4">
      <w:pPr>
        <w:pStyle w:val="Paragraphedeliste"/>
        <w:rPr>
          <w:rFonts w:eastAsiaTheme="minorEastAsia"/>
          <w:color w:val="00B05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:∀t</m:t>
          </m:r>
          <m:r>
            <m:rPr>
              <m:scr m:val="double-struck"/>
            </m:rPr>
            <w:rPr>
              <w:rFonts w:ascii="Cambria Math" w:hAnsi="Cambria Math"/>
              <w:color w:val="00B050"/>
            </w:rPr>
            <m:t xml:space="preserve">∈R, 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p>
              <m:r>
                <w:rPr>
                  <w:rFonts w:ascii="Cambria Math" w:hAnsi="Cambria Math"/>
                  <w:color w:val="00B05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t</m:t>
              </m:r>
            </m:e>
          </m:d>
          <m:r>
            <w:rPr>
              <w:rFonts w:ascii="Cambria Math" w:hAnsi="Cambria Math"/>
              <w:color w:val="00B050"/>
            </w:rPr>
            <m:t>=A∙X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t</m:t>
              </m:r>
            </m:e>
          </m:d>
        </m:oMath>
      </m:oMathPara>
    </w:p>
    <w:p w14:paraId="75E70E0A" w14:textId="3F49032C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Puis on utilise la méthode de la variation de la constante : on cherche une solution de la forme </w:t>
      </w:r>
      <m:oMath>
        <m:r>
          <w:rPr>
            <w:rFonts w:ascii="Cambria Math" w:eastAsiaTheme="minorEastAsia" w:hAnsi="Cambria Math"/>
            <w:color w:val="00B050"/>
          </w:rPr>
          <m:t>Y :t↦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  <w:r>
        <w:rPr>
          <w:rFonts w:eastAsiaTheme="minorEastAsia"/>
          <w:color w:val="00B050"/>
        </w:rPr>
        <w:t xml:space="preserve">, 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:t↦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</m:m>
          </m:e>
        </m:d>
      </m:oMath>
      <w:r>
        <w:rPr>
          <w:rFonts w:eastAsiaTheme="minorEastAsia"/>
          <w:color w:val="00B050"/>
        </w:rPr>
        <w:t xml:space="preserve">, dérivable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R</m:t>
        </m:r>
      </m:oMath>
      <w:r>
        <w:rPr>
          <w:rFonts w:eastAsiaTheme="minorEastAsia"/>
          <w:color w:val="00B050"/>
        </w:rPr>
        <w:t>.</w:t>
      </w:r>
    </w:p>
    <w:p w14:paraId="28F7338A" w14:textId="645BC78E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lastRenderedPageBreak/>
        <w:t xml:space="preserve">Alors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color w:val="00B05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R</m:t>
        </m:r>
      </m:oMath>
      <w:r>
        <w:rPr>
          <w:rFonts w:eastAsiaTheme="minorEastAsia"/>
          <w:color w:val="00B050"/>
        </w:rPr>
        <w:t xml:space="preserve">, et </w:t>
      </w:r>
      <m:oMath>
        <m:r>
          <w:rPr>
            <w:rFonts w:ascii="Cambria Math" w:eastAsiaTheme="minorEastAsia" w:hAnsi="Cambria Math"/>
            <w:color w:val="00B050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</w:p>
    <w:p w14:paraId="2B8AA2CD" w14:textId="370898C8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Ainsi,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color w:val="00B050"/>
        </w:rPr>
        <w:t xml:space="preserve"> est solution de </w:t>
      </w:r>
      <m:oMath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>⟺∀t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∈R, </m:t>
        </m:r>
        <m:r>
          <w:rPr>
            <w:rFonts w:ascii="Cambria Math" w:eastAsiaTheme="minorEastAsia" w:hAnsi="Cambria Math"/>
            <w:color w:val="00B050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</w:p>
    <w:p w14:paraId="39E941EC" w14:textId="1EC03C9A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  <w:t xml:space="preserve">       </w:t>
      </w:r>
      <m:oMath>
        <m:r>
          <w:rPr>
            <w:rFonts w:ascii="Cambria Math" w:eastAsiaTheme="minorEastAsia" w:hAnsi="Cambria Math"/>
            <w:color w:val="00B050"/>
          </w:rPr>
          <m:t>⟺∀t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∈R, </m:t>
        </m:r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-tA</m:t>
            </m:r>
          </m:sup>
        </m:sSup>
        <m:r>
          <w:rPr>
            <w:rFonts w:ascii="Cambria Math" w:eastAsiaTheme="minorEastAsia" w:hAnsi="Cambria Math"/>
            <w:color w:val="00B050"/>
          </w:rPr>
          <m:t>∙V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 :=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⋮</m:t>
                  </m: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</m:m>
          </m:e>
        </m:d>
      </m:oMath>
    </w:p>
    <w:p w14:paraId="218956A1" w14:textId="4861C419" w:rsidR="006C22A5" w:rsidRPr="006C22A5" w:rsidRDefault="006C22A5" w:rsidP="005E14E4">
      <w:pPr>
        <w:pStyle w:val="Paragraphedeliste"/>
        <w:rPr>
          <w:color w:val="00B050"/>
        </w:rPr>
      </w:pPr>
      <w:r>
        <w:rPr>
          <w:color w:val="00B050"/>
        </w:rPr>
        <w:t xml:space="preserve">Si on rajoute l’hypothèse que </w:t>
      </w:r>
      <m:oMath>
        <m:r>
          <w:rPr>
            <w:rFonts w:ascii="Cambria Math" w:hAnsi="Cambria Math"/>
            <w:color w:val="00B050"/>
          </w:rPr>
          <m:t>V</m:t>
        </m:r>
      </m:oMath>
      <w:r>
        <w:rPr>
          <w:rFonts w:eastAsiaTheme="minorEastAsia"/>
          <w:color w:val="00B050"/>
        </w:rPr>
        <w:t xml:space="preserve"> est </w:t>
      </w:r>
      <w:r>
        <w:rPr>
          <w:rFonts w:eastAsiaTheme="minorEastAsia"/>
          <w:color w:val="00B050"/>
          <w:u w:val="single"/>
        </w:rPr>
        <w:t>continue</w:t>
      </w:r>
      <w:r>
        <w:rPr>
          <w:rFonts w:eastAsiaTheme="minorEastAsia"/>
          <w:color w:val="00B05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R, </m:t>
        </m:r>
      </m:oMath>
      <w:r>
        <w:rPr>
          <w:rFonts w:eastAsiaTheme="minorEastAsia"/>
          <w:color w:val="00B050"/>
        </w:rPr>
        <w:t xml:space="preserve">on doit prendre une primitive de chaque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  <w:r>
        <w:rPr>
          <w:rFonts w:eastAsiaTheme="minorEastAsia"/>
          <w:color w:val="00B050"/>
        </w:rPr>
        <w:t xml:space="preserve"> pour obtenir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color w:val="00B050"/>
        </w:rPr>
        <w:t>.</w:t>
      </w:r>
    </w:p>
    <w:p w14:paraId="341DD380" w14:textId="77777777" w:rsidR="005E14E4" w:rsidRPr="005E14E4" w:rsidRDefault="005E14E4" w:rsidP="000E090D">
      <w:pPr>
        <w:pStyle w:val="Paragraphedeliste"/>
        <w:rPr>
          <w:rFonts w:eastAsiaTheme="minorEastAsia"/>
          <w:iCs/>
        </w:rPr>
      </w:pPr>
    </w:p>
    <w:sectPr w:rsidR="005E14E4" w:rsidRPr="005E1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E961" w14:textId="77777777" w:rsidR="006E322A" w:rsidRDefault="006E322A" w:rsidP="008A4556">
      <w:pPr>
        <w:spacing w:after="0" w:line="240" w:lineRule="auto"/>
      </w:pPr>
      <w:r>
        <w:separator/>
      </w:r>
    </w:p>
  </w:endnote>
  <w:endnote w:type="continuationSeparator" w:id="0">
    <w:p w14:paraId="1279A31A" w14:textId="77777777" w:rsidR="006E322A" w:rsidRDefault="006E322A" w:rsidP="008A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3F72" w14:textId="77777777" w:rsidR="006E322A" w:rsidRDefault="006E322A" w:rsidP="008A4556">
      <w:pPr>
        <w:spacing w:after="0" w:line="240" w:lineRule="auto"/>
      </w:pPr>
      <w:r>
        <w:separator/>
      </w:r>
    </w:p>
  </w:footnote>
  <w:footnote w:type="continuationSeparator" w:id="0">
    <w:p w14:paraId="26EB26FF" w14:textId="77777777" w:rsidR="006E322A" w:rsidRDefault="006E322A" w:rsidP="008A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D02"/>
    <w:multiLevelType w:val="hybridMultilevel"/>
    <w:tmpl w:val="0C5ECA52"/>
    <w:lvl w:ilvl="0" w:tplc="316ED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52EA8"/>
    <w:multiLevelType w:val="hybridMultilevel"/>
    <w:tmpl w:val="E1D8C3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1DD"/>
    <w:multiLevelType w:val="hybridMultilevel"/>
    <w:tmpl w:val="7396E4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60BD"/>
    <w:multiLevelType w:val="hybridMultilevel"/>
    <w:tmpl w:val="22F2E608"/>
    <w:lvl w:ilvl="0" w:tplc="055022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E4B19"/>
    <w:multiLevelType w:val="hybridMultilevel"/>
    <w:tmpl w:val="784808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4BB9"/>
    <w:multiLevelType w:val="hybridMultilevel"/>
    <w:tmpl w:val="7160D496"/>
    <w:lvl w:ilvl="0" w:tplc="37C611B4">
      <w:start w:val="1"/>
      <w:numFmt w:val="lowerRoman"/>
      <w:lvlText w:val="(%1)"/>
      <w:lvlJc w:val="left"/>
      <w:pPr>
        <w:ind w:left="144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93B43"/>
    <w:multiLevelType w:val="hybridMultilevel"/>
    <w:tmpl w:val="5F441B9C"/>
    <w:lvl w:ilvl="0" w:tplc="3A6CAC08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114325846">
    <w:abstractNumId w:val="4"/>
  </w:num>
  <w:num w:numId="2" w16cid:durableId="17779446">
    <w:abstractNumId w:val="3"/>
  </w:num>
  <w:num w:numId="3" w16cid:durableId="362291596">
    <w:abstractNumId w:val="2"/>
  </w:num>
  <w:num w:numId="4" w16cid:durableId="1513716881">
    <w:abstractNumId w:val="0"/>
  </w:num>
  <w:num w:numId="5" w16cid:durableId="1250505089">
    <w:abstractNumId w:val="1"/>
  </w:num>
  <w:num w:numId="6" w16cid:durableId="1266503855">
    <w:abstractNumId w:val="5"/>
  </w:num>
  <w:num w:numId="7" w16cid:durableId="2098868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9EE"/>
    <w:rsid w:val="00017BB0"/>
    <w:rsid w:val="0009223C"/>
    <w:rsid w:val="000E090D"/>
    <w:rsid w:val="002974AD"/>
    <w:rsid w:val="002F4044"/>
    <w:rsid w:val="00347060"/>
    <w:rsid w:val="003D0CB1"/>
    <w:rsid w:val="004C0E93"/>
    <w:rsid w:val="00501ABD"/>
    <w:rsid w:val="00564274"/>
    <w:rsid w:val="005C3655"/>
    <w:rsid w:val="005E14E4"/>
    <w:rsid w:val="006C22A5"/>
    <w:rsid w:val="006E322A"/>
    <w:rsid w:val="00736F89"/>
    <w:rsid w:val="008119EE"/>
    <w:rsid w:val="008A4556"/>
    <w:rsid w:val="00D807CE"/>
    <w:rsid w:val="00EC2894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3C2A"/>
  <w15:docId w15:val="{8DE69D2F-E25F-4535-A476-69D3C61E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5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A4556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A455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A455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A45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2023-11-20T13:34:00Z</dcterms:created>
  <dcterms:modified xsi:type="dcterms:W3CDTF">2023-12-06T13:51:00Z</dcterms:modified>
</cp:coreProperties>
</file>