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183E09A3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000000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00000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E327A1" w:rsidRDefault="00000000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6CE74EFB" w14:textId="6C4D8F6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(Base adaptée)</w:t>
      </w:r>
    </w:p>
    <w:p w14:paraId="3828295E" w14:textId="3FE2AA1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tq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03BF0B" w14:textId="77777777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 w:rsidRPr="00E327A1">
        <w:rPr>
          <w:rFonts w:eastAsiaTheme="minorEastAsia"/>
          <w:u w:val="single"/>
        </w:rPr>
        <w:t>base adaptée</w:t>
      </w:r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toute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obtenue par concaténation de bases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 toute base de la forme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où</w:t>
      </w:r>
    </w:p>
    <w:p w14:paraId="0AD53248" w14:textId="2586B82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DB6A39B" w14:textId="77777777" w:rsidR="00E327A1" w:rsidRDefault="00E327A1" w:rsidP="0098574F">
      <w:pPr>
        <w:rPr>
          <w:rFonts w:eastAsiaTheme="minorEastAsia"/>
        </w:rPr>
      </w:pPr>
    </w:p>
    <w:p w14:paraId="5D131DBF" w14:textId="3AFDB0BA" w:rsidR="00E327A1" w:rsidRDefault="00E327A1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Sous-espaces stables</w:t>
      </w:r>
    </w:p>
    <w:p w14:paraId="70E18E4A" w14:textId="562CD420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(Sous-espace stable)</w:t>
      </w:r>
    </w:p>
    <w:p w14:paraId="7DA7C14B" w14:textId="1240E53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1D891BA4" w14:textId="12DE300C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3EAD87BE" w14:textId="198B142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75BEE31" w14:textId="7966B11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(Stabilité des images et noyaux)</w:t>
      </w:r>
    </w:p>
    <w:p w14:paraId="724CB3BC" w14:textId="195C0F7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6863030" w14:textId="10680E91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(Endomorphismes induite)</w:t>
      </w:r>
    </w:p>
    <w:p w14:paraId="3975D7E4" w14:textId="065DB98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stable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définit l’endomorphisme </w:t>
      </w:r>
      <w:r w:rsidR="00E80463">
        <w:rPr>
          <w:rFonts w:eastAsiaTheme="minorEastAsia"/>
        </w:rPr>
        <w:t xml:space="preserve">induit par </w:t>
      </w:r>
      <m:oMath>
        <m:r>
          <w:rPr>
            <w:rFonts w:ascii="Cambria Math" w:eastAsiaTheme="minorEastAsia" w:hAnsi="Cambria Math"/>
          </w:rPr>
          <m:t>u</m:t>
        </m:r>
      </m:oMath>
      <w:r w:rsidR="00E8046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="00E80463">
        <w:rPr>
          <w:rFonts w:eastAsiaTheme="minorEastAsia"/>
        </w:rPr>
        <w:t xml:space="preserve"> par :</w:t>
      </w:r>
    </w:p>
    <w:p w14:paraId="3FA5A47E" w14:textId="4A4DA26E" w:rsidR="00E80463" w:rsidRPr="00E80463" w:rsidRDefault="00E80463" w:rsidP="009857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:F→F</m:t>
          </m:r>
        </m:oMath>
      </m:oMathPara>
    </w:p>
    <w:p w14:paraId="579A7F24" w14:textId="17469590" w:rsidR="00E80463" w:rsidRPr="00E80463" w:rsidRDefault="00E80463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x↦u(x)</m:t>
          </m:r>
        </m:oMath>
      </m:oMathPara>
    </w:p>
    <w:p w14:paraId="19784BDC" w14:textId="69047CAD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(Combinaisons linéaires d’endomorphismes stables)</w:t>
      </w:r>
    </w:p>
    <w:p w14:paraId="06AA7259" w14:textId="25911C0C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stable par </w:t>
      </w:r>
      <m:oMath>
        <m:r>
          <w:rPr>
            <w:rFonts w:ascii="Cambria Math" w:eastAsiaTheme="minorEastAsia" w:hAnsi="Cambria Math"/>
          </w:rPr>
          <m:t>λu, u+v, u∘v</m:t>
        </m:r>
      </m:oMath>
    </w:p>
    <w:p w14:paraId="1DBD58B3" w14:textId="527E56C1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60D1AD3A" w14:textId="54104227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r>
          <w:rPr>
            <w:rFonts w:ascii="Cambria Math" w:eastAsiaTheme="minorEastAsia" w:hAnsi="Cambria Math"/>
          </w:rPr>
          <m:t>E)</m:t>
        </m:r>
      </m:oMath>
      <w:r w:rsidR="005245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24548"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 w:rsidR="00524548">
        <w:rPr>
          <w:rFonts w:eastAsiaTheme="minorEastAsia"/>
        </w:rPr>
        <w:t xml:space="preserve"> stable de </w:t>
      </w:r>
      <m:oMath>
        <m:r>
          <w:rPr>
            <w:rFonts w:ascii="Cambria Math" w:eastAsiaTheme="minorEastAsia" w:hAnsi="Cambria Math"/>
          </w:rPr>
          <m:t>u</m:t>
        </m:r>
      </m:oMath>
      <w:r w:rsidR="00524548"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∩F</m:t>
        </m:r>
      </m:oMath>
      <w:r w:rsidR="0052454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u∩F</m:t>
        </m:r>
      </m:oMath>
    </w:p>
    <w:p w14:paraId="4D5F0843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injectif,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aussi.</w:t>
      </w:r>
    </w:p>
    <w:p w14:paraId="50DB62D8" w14:textId="77777777" w:rsidR="00524548" w:rsidRDefault="00524548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Version matricielle en dimension finie</w:t>
      </w:r>
    </w:p>
    <w:p w14:paraId="2B1248AA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620A1A3" w14:textId="2D7FF993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complète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C276059" w14:textId="16E1B443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3AD5DB39" w14:textId="481AD7AE" w:rsid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4881F69" w14:textId="7DC8CB07" w:rsidR="00524548" w:rsidRP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14:paraId="6E59FD24" w14:textId="1A26675D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c’est le cas,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C6BD5C" w14:textId="77777777" w:rsidR="00524548" w:rsidRDefault="00524548" w:rsidP="00524548">
      <w:pPr>
        <w:pStyle w:val="Paragraphedeliste"/>
        <w:ind w:left="0"/>
        <w:rPr>
          <w:rFonts w:eastAsiaTheme="minorEastAsia"/>
        </w:rPr>
      </w:pPr>
    </w:p>
    <w:p w14:paraId="11E2AB02" w14:textId="0C1B5494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 une base adaptée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7D8B">
        <w:rPr>
          <w:rFonts w:eastAsiaTheme="minorEastAsia"/>
        </w:rPr>
        <w:t>.</w:t>
      </w:r>
    </w:p>
    <w:p w14:paraId="7E1113A8" w14:textId="3A77C7F5" w:rsidR="002C7D8B" w:rsidRDefault="002C7D8B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>. On a équivalence entre :</w:t>
      </w:r>
    </w:p>
    <w:p w14:paraId="23E13D89" w14:textId="1E8F6130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F6BC8EC" w14:textId="2835F162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 :</w:t>
      </w:r>
    </w:p>
    <w:p w14:paraId="3AC50C60" w14:textId="2D485F85" w:rsidR="002C7D8B" w:rsidRPr="002C7D8B" w:rsidRDefault="002C7D8B" w:rsidP="002C7D8B">
      <w:pPr>
        <w:pStyle w:val="Paragraphedeliste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où 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5CFB910" w14:textId="4DFACC78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si c’est le cas,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36DEA292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6D00823B" w14:textId="54922093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Éléments propres</w:t>
      </w:r>
    </w:p>
    <w:p w14:paraId="5000F0F9" w14:textId="1722638F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considère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</w:t>
      </w:r>
    </w:p>
    <w:p w14:paraId="7526153C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7995AFC6" w14:textId="52225D70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Valeurs propres, vecteurs propres</w:t>
      </w:r>
    </w:p>
    <w:p w14:paraId="19418F78" w14:textId="1D20BCC7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  <w:iCs/>
        </w:rPr>
        <w:t xml:space="preserve"> est un </w:t>
      </w:r>
      <w:r>
        <w:rPr>
          <w:rFonts w:eastAsiaTheme="minorEastAsia"/>
          <w:iCs/>
          <w:u w:val="single"/>
        </w:rPr>
        <w:t>vecteur propre</w:t>
      </w:r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18F6ABED" w14:textId="1801C032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ce cas, il y a unicité de </w:t>
      </w:r>
      <m:oMath>
        <m:r>
          <w:rPr>
            <w:rFonts w:ascii="Cambria Math" w:eastAsiaTheme="minorEastAsia" w:hAnsi="Cambria Math"/>
          </w:rPr>
          <m:t>λ</m:t>
        </m:r>
      </m:oMath>
    </w:p>
    <w:p w14:paraId="55CCA7A5" w14:textId="06AB804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Le scalaire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appelé </w:t>
      </w:r>
      <w:r w:rsidRPr="002C7D8B">
        <w:rPr>
          <w:rFonts w:eastAsiaTheme="minorEastAsia"/>
          <w:u w:val="single"/>
        </w:rPr>
        <w:t>valeur propre</w:t>
      </w:r>
      <w:r>
        <w:t xml:space="preserve"> à laquelle est associée le vecteur propre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AD279D7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69F8372C" w14:textId="6ED98ED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>valeur propre</w:t>
      </w:r>
      <w:r>
        <w:t xml:space="preserve"> tout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x∈E</m:t>
        </m:r>
        <m:r>
          <w:rPr>
            <w:rFonts w:ascii="Cambria Math" w:eastAsiaTheme="minorEastAsia" w:hAnsi="Cambria Math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</w:p>
    <w:p w14:paraId="21668C24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06F8F129" w14:textId="7DF14643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L’ensemble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u</m:t>
        </m:r>
      </m:oMath>
      <w:r w:rsidR="00470B55"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70B55">
        <w:rPr>
          <w:rFonts w:eastAsiaTheme="minorEastAsia"/>
        </w:rPr>
        <w:t>.</w:t>
      </w:r>
    </w:p>
    <w:p w14:paraId="19DE0C79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3B0E21E7" w14:textId="7F88FE47" w:rsidR="00470B55" w:rsidRDefault="00470B55" w:rsidP="002C7D8B">
      <w:pPr>
        <w:pStyle w:val="Paragraphedeliste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 propre</w:t>
      </w:r>
    </w:p>
    <w:p w14:paraId="3ED6D8F3" w14:textId="42E27A3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CB96E43" w14:textId="1A30E006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u-λId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=λx}</m:t>
        </m:r>
      </m:oMath>
      <w:r>
        <w:rPr>
          <w:rFonts w:eastAsiaTheme="minorEastAsia"/>
        </w:rPr>
        <w:t xml:space="preserve"> l’espace formé des vecteurs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solutions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55AB7CCE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5D88447A" w14:textId="330809D1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FC27E6B" w14:textId="5B9C56E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00685738" w14:textId="239BFCD0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λ∈Sp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40AEBAD" w14:textId="49CF30BA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(u)≠0</m:t>
        </m:r>
      </m:oMath>
    </w:p>
    <w:p w14:paraId="3D1BC298" w14:textId="7A382E1C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7A3CCCA9" w14:textId="77777777" w:rsidR="00470B55" w:rsidRDefault="00470B55">
      <w:pPr>
        <w:rPr>
          <w:u w:val="single"/>
        </w:rPr>
      </w:pPr>
      <w:r>
        <w:rPr>
          <w:u w:val="single"/>
        </w:rPr>
        <w:br w:type="page"/>
      </w:r>
    </w:p>
    <w:p w14:paraId="69BD406A" w14:textId="62F55EA5" w:rsidR="00470B55" w:rsidRDefault="00470B55" w:rsidP="00470B55">
      <w:r>
        <w:rPr>
          <w:u w:val="single"/>
        </w:rPr>
        <w:lastRenderedPageBreak/>
        <w:t>Définition :</w:t>
      </w:r>
      <w:r>
        <w:t xml:space="preserve"> (Sous-espace propre)</w:t>
      </w:r>
    </w:p>
    <w:p w14:paraId="36334F81" w14:textId="1A8847C0" w:rsidR="00470B55" w:rsidRDefault="00470B55" w:rsidP="00470B5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le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appelé sous-espace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4B22F070" w14:textId="2DCDCA2C" w:rsidR="00470B55" w:rsidRDefault="00470B55" w:rsidP="00470B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Stabilité et somme directe des sous-espaces propres </w:t>
      </w:r>
    </w:p>
    <w:p w14:paraId="6C50F2FF" w14:textId="7A59A093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Les sous-espaces propres de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</w:p>
    <w:p w14:paraId="4640AD3A" w14:textId="45D45DAB" w:rsidR="00470B55" w:rsidRPr="00470B55" w:rsidRDefault="00470B55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=λI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</m:oMath>
      </m:oMathPara>
    </w:p>
    <w:p w14:paraId="1068F129" w14:textId="2A83F7F5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u,v∈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v∘u=u∘v</m:t>
        </m:r>
      </m:oMath>
      <w:r>
        <w:rPr>
          <w:rFonts w:eastAsiaTheme="minorEastAsia"/>
        </w:rPr>
        <w:t xml:space="preserve">, alors les sous-espaces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CBD8F36" w14:textId="4EC1EA2B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Des sous-espaces propres de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associés à des valeurs propres 2 à 2 distinctes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en somme directe, c’est-à-dire si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323F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,i≠j,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323F7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(u)</m:t>
        </m:r>
      </m:oMath>
      <w:r w:rsidR="002323F7">
        <w:rPr>
          <w:rFonts w:eastAsiaTheme="minorEastAsia"/>
        </w:rPr>
        <w:t xml:space="preserve"> est en somme directe.</w:t>
      </w:r>
    </w:p>
    <w:p w14:paraId="67C65130" w14:textId="5EDB6879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Une famille de vecteurs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associés à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2 à 2 distinctes est libre.</w:t>
      </w:r>
    </w:p>
    <w:p w14:paraId="2398AE89" w14:textId="769580EA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admet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distinctes.</w:t>
      </w:r>
    </w:p>
    <w:p w14:paraId="1C877D1D" w14:textId="42CC83D8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en dimension finie</w:t>
      </w:r>
    </w:p>
    <w:p w14:paraId="5B5C8FAD" w14:textId="0A4C6C16" w:rsidR="002323F7" w:rsidRDefault="002323F7" w:rsidP="00470B55">
      <w:pPr>
        <w:rPr>
          <w:rFonts w:eastAsiaTheme="minorEastAsia"/>
        </w:rPr>
      </w:pPr>
      <w:r>
        <w:rPr>
          <w:rFonts w:eastAsiaTheme="minorEastAsia"/>
        </w:rPr>
        <w:t xml:space="preserve">Dans cette partie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</w:t>
      </w:r>
      <w:r w:rsidRPr="002323F7">
        <w:rPr>
          <w:rFonts w:eastAsiaTheme="minorEastAsia"/>
        </w:rPr>
        <w:t>dim</w:t>
      </w:r>
      <w:proofErr w:type="spellStart"/>
      <w:r w:rsidRPr="002323F7">
        <w:rPr>
          <w:rFonts w:eastAsiaTheme="minorEastAsia"/>
        </w:rPr>
        <w:t>ension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</w:p>
    <w:p w14:paraId="63E18F25" w14:textId="2B7C8A7E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d’une matrice carrée</w:t>
      </w:r>
    </w:p>
    <w:p w14:paraId="38511F1F" w14:textId="2A4E4E58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182C">
        <w:rPr>
          <w:rFonts w:eastAsiaTheme="minorEastAsia"/>
        </w:rPr>
        <w:t xml:space="preserve"> est une </w:t>
      </w:r>
      <w:r w:rsidR="0056182C">
        <w:rPr>
          <w:rFonts w:eastAsiaTheme="minorEastAsia"/>
          <w:u w:val="single"/>
        </w:rPr>
        <w:t>valeur propre</w:t>
      </w:r>
      <w:r w:rsidR="00561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56182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618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AX=λX</m:t>
        </m:r>
      </m:oMath>
    </w:p>
    <w:p w14:paraId="09B4FDA0" w14:textId="06CC3243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un vecteur propre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associé à la valeur pro</w:t>
      </w:r>
      <w:proofErr w:type="spellStart"/>
      <w:r>
        <w:rPr>
          <w:rFonts w:eastAsiaTheme="minorEastAsia"/>
        </w:rPr>
        <w:t>pre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L’ensemble des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Sp(A)</m:t>
        </m:r>
      </m:oMath>
      <w:r>
        <w:rPr>
          <w:rFonts w:eastAsiaTheme="minorEastAsia"/>
        </w:rPr>
        <w:t>.</w:t>
      </w:r>
    </w:p>
    <w:p w14:paraId="069D7DCC" w14:textId="77777777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le sev formé des éléments</w:t>
      </w:r>
    </w:p>
    <w:p w14:paraId="38C56292" w14:textId="4E56B9E2" w:rsidR="0056182C" w:rsidRPr="0056182C" w:rsidRDefault="0056182C" w:rsidP="0047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AX=λX</m:t>
          </m:r>
        </m:oMath>
      </m:oMathPara>
    </w:p>
    <w:p w14:paraId="7A27E969" w14:textId="77777777" w:rsidR="0056182C" w:rsidRPr="0056182C" w:rsidRDefault="0056182C" w:rsidP="00470B55">
      <w:pPr>
        <w:rPr>
          <w:rFonts w:eastAsiaTheme="minorEastAsia"/>
        </w:rPr>
      </w:pPr>
    </w:p>
    <w:sectPr w:rsidR="0056182C" w:rsidRPr="00561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AA6"/>
    <w:multiLevelType w:val="hybridMultilevel"/>
    <w:tmpl w:val="543CEE6C"/>
    <w:lvl w:ilvl="0" w:tplc="4430334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BD7"/>
    <w:multiLevelType w:val="hybridMultilevel"/>
    <w:tmpl w:val="6F78BBB0"/>
    <w:lvl w:ilvl="0" w:tplc="C70489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A3536"/>
    <w:multiLevelType w:val="hybridMultilevel"/>
    <w:tmpl w:val="90CECD4C"/>
    <w:lvl w:ilvl="0" w:tplc="4BFA2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609">
    <w:abstractNumId w:val="1"/>
  </w:num>
  <w:num w:numId="2" w16cid:durableId="1040207270">
    <w:abstractNumId w:val="2"/>
  </w:num>
  <w:num w:numId="3" w16cid:durableId="144056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2323F7"/>
    <w:rsid w:val="002C7D8B"/>
    <w:rsid w:val="002F4044"/>
    <w:rsid w:val="00470B55"/>
    <w:rsid w:val="00524548"/>
    <w:rsid w:val="0056182C"/>
    <w:rsid w:val="006313B8"/>
    <w:rsid w:val="008015CE"/>
    <w:rsid w:val="009572BC"/>
    <w:rsid w:val="0098574F"/>
    <w:rsid w:val="00E327A1"/>
    <w:rsid w:val="00E80463"/>
    <w:rsid w:val="00EA4E46"/>
    <w:rsid w:val="00F0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A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  <w:style w:type="paragraph" w:styleId="Paragraphedeliste">
    <w:name w:val="List Paragraph"/>
    <w:basedOn w:val="Normal"/>
    <w:uiPriority w:val="34"/>
    <w:qFormat/>
    <w:rsid w:val="005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970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dcterms:created xsi:type="dcterms:W3CDTF">2023-10-01T11:29:00Z</dcterms:created>
  <dcterms:modified xsi:type="dcterms:W3CDTF">2023-10-02T09:59:00Z</dcterms:modified>
</cp:coreProperties>
</file>