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4D7FC675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3C008862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4CA5">
        <w:rPr>
          <w:rFonts w:eastAsiaTheme="minorEastAsia"/>
        </w:rPr>
        <w:t xml:space="preserve"> non injectif</w:t>
      </w:r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p w14:paraId="740108F9" w14:textId="0D6D7176" w:rsidR="004A7F11" w:rsidRDefault="004A7F11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Multiplicité d’une valeur propre</w:t>
      </w:r>
    </w:p>
    <w:p w14:paraId="1C9A6532" w14:textId="5B13D9D6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polynôme non constant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dit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6184631" w14:textId="75FE1570" w:rsidR="004A7F11" w:rsidRPr="004A7F11" w:rsidRDefault="004A7F11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∃μ∈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K, ∃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∈K, </m:t>
          </m:r>
          <m:r>
            <w:rPr>
              <w:rFonts w:ascii="Cambria Math" w:eastAsiaTheme="minorEastAsia" w:hAnsi="Cambria Math"/>
            </w:rPr>
            <m:t>P=μ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F306FC" w14:textId="78D8C2E0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Lorsque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2 à 2 différents, on dit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scindé à valeurs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ADE8B73" w14:textId="16986AE2" w:rsidR="004A7F11" w:rsidRDefault="004A7F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492B1A" w14:textId="516C409C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(Multiplicité algébrique)</w:t>
      </w:r>
    </w:p>
    <w:p w14:paraId="7345ECB0" w14:textId="68C70A9F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appelle multiplicité algébrique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l’ordre de multiplicité de </w:t>
      </w: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en tant que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1B035C9D" w14:textId="0E8D79F4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On appelle multiplicité géométrique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la dimension de l’espace propre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c’est-à-dire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136A18" w14:textId="52958429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</w:p>
    <w:p w14:paraId="796ADEA7" w14:textId="4504363F" w:rsidR="004A7F11" w:rsidRPr="004A7F11" w:rsidRDefault="00000000" w:rsidP="0051436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</m:oMath>
      </m:oMathPara>
    </w:p>
    <w:p w14:paraId="5A2759AF" w14:textId="4918CB89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Si égalité,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587C02">
        <w:rPr>
          <w:rFonts w:eastAsiaTheme="minorEastAsia"/>
        </w:rPr>
        <w:t xml:space="preserve"> </w:t>
      </w:r>
    </w:p>
    <w:p w14:paraId="5273FCD4" w14:textId="1A1C7F61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</w:t>
      </w:r>
      <w:r w:rsidR="00587C02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587C02"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 w:rsidR="00587C02">
        <w:rPr>
          <w:rFonts w:eastAsiaTheme="minorEastAsia"/>
        </w:rPr>
        <w:t xml:space="preserve"> valeurs propres comptées avec multiplicité algébrique, où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87C02">
        <w:rPr>
          <w:rFonts w:eastAsiaTheme="minorEastAsia"/>
        </w:rPr>
        <w:t>.</w:t>
      </w:r>
    </w:p>
    <w:p w14:paraId="49CFE463" w14:textId="0045F08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exactement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comptées avec multiplicité algébrique.</w:t>
      </w:r>
    </w:p>
    <w:p w14:paraId="1A661413" w14:textId="2D945A32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le polynôme caractéristique de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divise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ie :</w:t>
      </w:r>
    </w:p>
    <w:p w14:paraId="6AD84C45" w14:textId="3AAC2765" w:rsidR="00587C02" w:rsidRPr="00587C02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25714A25" w14:textId="60978FE4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 on a :</w:t>
      </w:r>
    </w:p>
    <w:p w14:paraId="671F5658" w14:textId="67BDF40D" w:rsidR="00587C02" w:rsidRPr="00587C02" w:rsidRDefault="00587C02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07ECD1C8" w14:textId="77777777" w:rsidR="00587C02" w:rsidRDefault="00587C02" w:rsidP="0051436B">
      <w:pPr>
        <w:rPr>
          <w:rFonts w:eastAsiaTheme="minorEastAsia"/>
        </w:rPr>
      </w:pPr>
    </w:p>
    <w:p w14:paraId="4FD8822F" w14:textId="1914B0F6" w:rsidR="00587C02" w:rsidRDefault="00587C02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Diagonalisabilité </w:t>
      </w:r>
    </w:p>
    <w:p w14:paraId="1E5534CC" w14:textId="1294944C" w:rsidR="00587C02" w:rsidRDefault="00587C02" w:rsidP="0051436B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, E 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-ev)</w:t>
      </w:r>
    </w:p>
    <w:p w14:paraId="3C31D521" w14:textId="4B9320A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diagonalisable s’il existe 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diagonale.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appelée base de diagonalisation.</w:t>
      </w:r>
    </w:p>
    <w:p w14:paraId="44D79317" w14:textId="5425C28C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 :</w:t>
      </w:r>
    </w:p>
    <w:p w14:paraId="645FB10C" w14:textId="7DA59790" w:rsidR="00587C02" w:rsidRDefault="00587C02" w:rsidP="00587C0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1A2B90D1" w14:textId="1E3470A6" w:rsidR="00587C02" w:rsidRPr="00587C02" w:rsidRDefault="00587C02" w:rsidP="0051436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0B67CB59" w14:textId="4EE40BFC" w:rsidR="00587C02" w:rsidRPr="0010288C" w:rsidRDefault="00587C02" w:rsidP="00587C0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formée de vecteurs propres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1F380790" w14:textId="22467CA5" w:rsidR="0010288C" w:rsidRDefault="0010288C" w:rsidP="0010288C">
      <w:pPr>
        <w:rPr>
          <w:rFonts w:eastAsiaTheme="minorEastAsia"/>
          <w:iCs/>
        </w:rPr>
      </w:pPr>
      <w:r w:rsidRPr="0010288C">
        <w:rPr>
          <w:rFonts w:eastAsiaTheme="minorEastAsia"/>
          <w:iCs/>
          <w:u w:val="single"/>
        </w:rPr>
        <w:t>Théorème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01AC1729" w14:textId="077282A6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diagonalisable</w:t>
      </w:r>
    </w:p>
    <w:p w14:paraId="6A7A1ADD" w14:textId="5AC563F0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⊕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B152A94" w14:textId="301B4441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</w:p>
    <w:p w14:paraId="7F1B9EAE" w14:textId="1B9236A3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0288C"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0288C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∀λ∈\Sp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10288C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4942162" w14:textId="3AB5F4CC" w:rsidR="001262DF" w:rsidRDefault="001262DF" w:rsidP="001262DF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Corollaire :</w:t>
      </w:r>
      <w:r>
        <w:t xml:space="preserve"> Si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 valeurs propres distinctes, alors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diagonalisable.</w:t>
      </w:r>
    </w:p>
    <w:p w14:paraId="658372D4" w14:textId="11DFDC2B" w:rsidR="001262DF" w:rsidRDefault="001262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0E1584" w14:textId="7D49217B" w:rsidR="001262DF" w:rsidRDefault="001262DF" w:rsidP="001262DF">
      <w:r>
        <w:rPr>
          <w:b/>
          <w:bCs/>
        </w:rPr>
        <w:lastRenderedPageBreak/>
        <w:t>Matrice diagonalisable</w:t>
      </w:r>
    </w:p>
    <w:p w14:paraId="1879AEE0" w14:textId="61676B47" w:rsidR="001262DF" w:rsidRDefault="001262DF" w:rsidP="001262DF">
      <w:pPr>
        <w:rPr>
          <w:rFonts w:eastAsiaTheme="minorEastAsia"/>
          <w:iCs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est diagonalisable</m:t>
            </m:r>
            <m:ctrlPr>
              <w:rPr>
                <w:rFonts w:ascii="Cambria Math" w:eastAsiaTheme="minorEastAsia" w:hAnsi="Cambria Math"/>
                <w:iCs/>
              </w:rPr>
            </m:ctrlPr>
          </m:e>
        </m:d>
      </m:oMath>
    </w:p>
    <w:p w14:paraId="66F50D02" w14:textId="39EA94E2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(Matrice diagonalisable)</w:t>
      </w:r>
    </w:p>
    <w:p w14:paraId="7EBFDE7A" w14:textId="79E9CA5C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est dite diagonalisable si elle est semblable à une matrice diagonale.</w:t>
      </w:r>
    </w:p>
    <w:p w14:paraId="759B53FA" w14:textId="0DC49FCF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FA6BE56" w14:textId="08F58772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∃D∈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,∃P∈G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AP=D</m:t>
          </m:r>
        </m:oMath>
      </m:oMathPara>
    </w:p>
    <w:p w14:paraId="6A1F4119" w14:textId="35ACC55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>.</w:t>
      </w:r>
    </w:p>
    <w:p w14:paraId="6124F5E2" w14:textId="2EF071B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>On a équivalence entre :</w:t>
      </w:r>
    </w:p>
    <w:p w14:paraId="066FACB1" w14:textId="0281403E" w:rsidR="001262DF" w:rsidRPr="001262DF" w:rsidRDefault="001262DF" w:rsidP="001262DF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iCs/>
        </w:rPr>
        <w:t xml:space="preserve"> est diagonalisable</w:t>
      </w:r>
    </w:p>
    <w:p w14:paraId="5C025688" w14:textId="5C9C9C34" w:rsidR="001262DF" w:rsidRPr="001262DF" w:rsidRDefault="001262DF" w:rsidP="00141B37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 w:rsidRPr="001262DF">
        <w:rPr>
          <w:rFonts w:eastAsiaTheme="minorEastAsia"/>
          <w:iCs/>
        </w:rPr>
        <w:t xml:space="preserve"> est diagonalisable</w:t>
      </w:r>
    </w:p>
    <w:p w14:paraId="3F2824D1" w14:textId="27A4D471" w:rsidR="001262DF" w:rsidRDefault="001262DF" w:rsidP="001262DF">
      <w:r>
        <w:rPr>
          <w:u w:val="single"/>
        </w:rPr>
        <w:t>Théorème :</w:t>
      </w:r>
    </w:p>
    <w:p w14:paraId="5B82B0D0" w14:textId="04457ECC" w:rsidR="001262DF" w:rsidRDefault="001262DF" w:rsidP="001262DF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>. On a équivalence entre :</w:t>
      </w:r>
    </w:p>
    <w:p w14:paraId="0BBC155A" w14:textId="36930C68" w:rsidR="001262DF" w:rsidRPr="001262DF" w:rsidRDefault="001262DF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 est diagonalisable (dans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)</w:t>
      </w:r>
    </w:p>
    <w:p w14:paraId="062D1383" w14:textId="523F85B2" w:rsidR="001262DF" w:rsidRPr="005412CE" w:rsidRDefault="00000000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⊕</m:t>
            </m:r>
          </m:e>
          <m:lim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58CABF2" w14:textId="3533A74E" w:rsidR="005412CE" w:rsidRPr="005412CE" w:rsidRDefault="005412CE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n=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7F8050BA" w14:textId="3A72DDEA" w:rsidR="005412CE" w:rsidRPr="005412CE" w:rsidRDefault="00000000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12CE"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412CE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 w:rsidR="005412C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</m:oMath>
    </w:p>
    <w:p w14:paraId="2A3179F5" w14:textId="3038B8C0" w:rsidR="005412CE" w:rsidRDefault="005412CE" w:rsidP="005412CE">
      <w:pPr>
        <w:rPr>
          <w:rFonts w:eastAsiaTheme="minorEastAsia"/>
        </w:rPr>
      </w:pPr>
      <w:r>
        <w:t xml:space="preserve">De plus, dans le cas où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est diagonalisable, les matrices diagonales semblables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les matrices diagonales dont les coefficients diagonaux sont les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comptées avec multiplicité algébrique.</w:t>
      </w:r>
    </w:p>
    <w:p w14:paraId="39C4A105" w14:textId="500D8330" w:rsidR="005412CE" w:rsidRDefault="005412CE" w:rsidP="005412CE">
      <w:pPr>
        <w:rPr>
          <w:rFonts w:eastAsiaTheme="minorEastAsia"/>
        </w:rPr>
      </w:pPr>
      <w:r w:rsidRPr="005412CE">
        <w:rPr>
          <w:rFonts w:eastAsiaTheme="minorEastAsia"/>
          <w:u w:val="single"/>
        </w:rPr>
        <w:t>Corollaire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admet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K)</m:t>
        </m:r>
      </m:oMath>
      <w:r>
        <w:rPr>
          <w:rFonts w:eastAsiaTheme="minorEastAsia"/>
        </w:rPr>
        <w:t xml:space="preserve"> 2 à 2 distinctes, 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diagonalisable.</w:t>
      </w:r>
    </w:p>
    <w:p w14:paraId="7D1D8669" w14:textId="673DFE16" w:rsidR="005412CE" w:rsidRPr="005412CE" w:rsidRDefault="005412CE" w:rsidP="005412CE">
      <w:pPr>
        <w:rPr>
          <w:rFonts w:eastAsiaTheme="minorEastAsia"/>
          <w:b/>
          <w:bCs/>
          <w:u w:val="single"/>
        </w:rPr>
      </w:pPr>
      <w:r w:rsidRPr="005412CE">
        <w:rPr>
          <w:rFonts w:eastAsiaTheme="minorEastAsia"/>
          <w:b/>
          <w:bCs/>
          <w:u w:val="single"/>
        </w:rPr>
        <w:t>Trigonalisabilité</w:t>
      </w:r>
    </w:p>
    <w:p w14:paraId="3548D721" w14:textId="317E0508" w:rsidR="005412CE" w:rsidRDefault="005412CE" w:rsidP="005412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D9B819" w14:textId="6D595A10" w:rsidR="005412CE" w:rsidRDefault="005412CE" w:rsidP="005412CE">
      <w:p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Endomorphismes et matrices trigonalisables :</w:t>
      </w:r>
    </w:p>
    <w:p w14:paraId="2F4F5B34" w14:textId="5DE7F31D" w:rsidR="005412CE" w:rsidRDefault="005412CE" w:rsidP="005412CE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 trigonalisable)</w:t>
      </w:r>
    </w:p>
    <w:p w14:paraId="4611551D" w14:textId="425AB083" w:rsidR="005412CE" w:rsidRDefault="005412CE" w:rsidP="005412CE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trigonalisable, s’il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triangulaire supérieure ou inférieure.</w:t>
      </w:r>
    </w:p>
    <w:p w14:paraId="17757CE8" w14:textId="41B8F8C2" w:rsidR="00DE6AD4" w:rsidRPr="00DE6AD4" w:rsidRDefault="00DE6AD4" w:rsidP="005412CE">
      <w:pPr>
        <w:rPr>
          <w:u w:val="single"/>
        </w:rPr>
      </w:pPr>
      <w:r w:rsidRPr="00DE6AD4">
        <w:rPr>
          <w:u w:val="single"/>
        </w:rPr>
        <w:t>Propriété</w:t>
      </w:r>
      <w:r>
        <w:rPr>
          <w:u w:val="single"/>
        </w:rPr>
        <w:t> :</w:t>
      </w:r>
    </w:p>
    <w:p w14:paraId="2F4E2666" w14:textId="0350F989" w:rsidR="00DE6AD4" w:rsidRDefault="00DE6AD4" w:rsidP="005412CE">
      <w:r>
        <w:t xml:space="preserve">Soient </w:t>
      </w:r>
      <m:oMath>
        <m:r>
          <w:rPr>
            <w:rFonts w:ascii="Cambria Math" w:hAnsi="Cambria Math"/>
          </w:rPr>
          <m:t xml:space="preserve"> B=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une base de </w:t>
      </w:r>
      <m:oMath>
        <m:r>
          <w:rPr>
            <w:rFonts w:ascii="Cambria Math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cs="Cambria Math"/>
          </w:rPr>
          <m:t>∈</m:t>
        </m:r>
        <m:r>
          <m:rPr>
            <m:scr m:val="script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E)</m:t>
        </m:r>
      </m:oMath>
      <w:r>
        <w:t xml:space="preserve">. On a </w:t>
      </w:r>
      <w:r>
        <w:rPr>
          <w:rFonts w:ascii="Calibri" w:hAnsi="Calibri" w:cs="Calibri"/>
        </w:rPr>
        <w:t>é</w:t>
      </w:r>
      <w:r>
        <w:t xml:space="preserve">quivalence entre : </w:t>
      </w:r>
    </w:p>
    <w:p w14:paraId="09E60806" w14:textId="526C3A8A" w:rsidR="00DE6AD4" w:rsidRPr="00DE6AD4" w:rsidRDefault="00DE6AD4" w:rsidP="00DE6AD4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 xml:space="preserve"> La base B trigonalise l'endomorphisme </w:t>
      </w:r>
      <m:oMath>
        <m:r>
          <w:rPr>
            <w:rFonts w:ascii="Cambria Math" w:hAnsi="Cambria Math"/>
          </w:rPr>
          <m:t>u</m:t>
        </m:r>
      </m:oMath>
      <w:r>
        <w:t xml:space="preserve">. </w:t>
      </w:r>
    </w:p>
    <w:p w14:paraId="46D4BCA3" w14:textId="539AC868" w:rsidR="005412CE" w:rsidRPr="00DE6AD4" w:rsidRDefault="00DE6AD4" w:rsidP="00DE6AD4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1;n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>Vect(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est stable par </w:t>
      </w:r>
      <m:oMath>
        <m:r>
          <w:rPr>
            <w:rFonts w:ascii="Cambria Math" w:hAnsi="Cambria Math"/>
          </w:rPr>
          <m:t>u</m:t>
        </m:r>
      </m:oMath>
      <w:r>
        <w:t>.</w:t>
      </w:r>
    </w:p>
    <w:p w14:paraId="572C94FC" w14:textId="3B680210" w:rsidR="00DE6AD4" w:rsidRDefault="002C6A09" w:rsidP="00DE6AD4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(Matrice trigonalisable)</w:t>
      </w:r>
    </w:p>
    <w:p w14:paraId="1BE0335D" w14:textId="4454CBC9" w:rsidR="002C6A09" w:rsidRDefault="002C6A09" w:rsidP="00DE6AD4">
      <w:r>
        <w:t xml:space="preserve">Une matrice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t xml:space="preserve"> est dite trigonalisable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t xml:space="preserve"> si elle est semblable </w:t>
      </w:r>
      <w:r>
        <w:rPr>
          <w:rFonts w:ascii="Calibri" w:hAnsi="Calibri" w:cs="Calibri"/>
        </w:rPr>
        <w:t>à</w:t>
      </w:r>
      <w:r>
        <w:t xml:space="preserve"> une matrice triangulaire supérieure/inférieure.</w:t>
      </w:r>
    </w:p>
    <w:p w14:paraId="125F49D4" w14:textId="2092998C" w:rsidR="002C6A09" w:rsidRDefault="002C6A09" w:rsidP="00DE6AD4">
      <w:r>
        <w:rPr>
          <w:u w:val="single"/>
        </w:rPr>
        <w:lastRenderedPageBreak/>
        <w:t>Propriété :</w:t>
      </w:r>
    </w:p>
    <w:p w14:paraId="6B054E3D" w14:textId="165C45AA" w:rsidR="002C6A09" w:rsidRDefault="002C6A09" w:rsidP="00DE6AD4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>, alors sont équivalents</w:t>
      </w:r>
    </w:p>
    <w:p w14:paraId="4F15E6A7" w14:textId="6178BE86" w:rsidR="002C6A09" w:rsidRDefault="002C6A09" w:rsidP="002C6A09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47E5DF55" w14:textId="7763F021" w:rsidR="002C6A09" w:rsidRDefault="002C6A09" w:rsidP="002C6A09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trigonalisable (dans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)</w:t>
      </w:r>
    </w:p>
    <w:p w14:paraId="2D218685" w14:textId="2E13767D" w:rsidR="002C6A09" w:rsidRDefault="002C6A09" w:rsidP="002C6A0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8D169EB" w14:textId="57DD00C7" w:rsidR="002C6A09" w:rsidRDefault="002C6A09" w:rsidP="002C6A09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, on a équivalence entre :</w:t>
      </w:r>
    </w:p>
    <w:p w14:paraId="0BA1B3B3" w14:textId="4D7A41D6" w:rsidR="002C6A09" w:rsidRDefault="002C6A09" w:rsidP="002C6A09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3ADD92F9" w14:textId="49C6B73F" w:rsidR="002C6A09" w:rsidRDefault="002C6A09" w:rsidP="002C6A09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De même pour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</w:t>
      </w:r>
    </w:p>
    <w:p w14:paraId="6EB70736" w14:textId="6CF5BD6B" w:rsidR="002C6A09" w:rsidRDefault="002C6A09" w:rsidP="002C6A09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3EF3C584" w14:textId="3E9401AD" w:rsidR="002C6A09" w:rsidRDefault="002C6A09" w:rsidP="002C6A0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alors :</w:t>
      </w:r>
    </w:p>
    <w:p w14:paraId="612B163E" w14:textId="786C787A" w:rsidR="002C6A09" w:rsidRPr="00FE5732" w:rsidRDefault="002C6A09" w:rsidP="002C6A0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λ</m:t>
              </m:r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et </m:t>
          </m:r>
          <m:r>
            <w:rPr>
              <w:rFonts w:ascii="Cambria Math" w:eastAsiaTheme="minorEastAsia" w:hAnsi="Cambria Math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sup>
              </m:sSup>
            </m:e>
          </m:nary>
        </m:oMath>
      </m:oMathPara>
    </w:p>
    <w:p w14:paraId="4343CE30" w14:textId="08B3CAA4" w:rsidR="00FE5732" w:rsidRDefault="00FE5732" w:rsidP="002C6A09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Nilpotence</w:t>
      </w:r>
    </w:p>
    <w:p w14:paraId="3F998520" w14:textId="79F8C2FA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(endomorphisme nilpotent)</w:t>
      </w:r>
    </w:p>
    <w:p w14:paraId="0C547298" w14:textId="509028A8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est dit nilpotent si </w:t>
      </w:r>
      <m:oMath>
        <m:r>
          <w:rPr>
            <w:rFonts w:ascii="Cambria Math" w:eastAsiaTheme="minorEastAsia" w:hAnsi="Cambria Math"/>
          </w:rPr>
          <m:t>∃p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</m:oMath>
      <w:r>
        <w:rPr>
          <w:rFonts w:eastAsiaTheme="minorEastAsia"/>
          <w:iCs/>
        </w:rPr>
        <w:t>.</w:t>
      </w:r>
      <w:r w:rsidR="008F29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Le plus petit tel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est appelé indice de nilpotence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>.</w:t>
      </w:r>
    </w:p>
    <w:p w14:paraId="3094BD77" w14:textId="7598DD20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(Matrice nilpotente)</w:t>
      </w:r>
    </w:p>
    <w:p w14:paraId="3073061F" w14:textId="1BEE5FFE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On dit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nilpotente s’il existe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</m:oMath>
      <w:r>
        <w:rPr>
          <w:rFonts w:eastAsiaTheme="minorEastAsia"/>
          <w:iCs/>
        </w:rPr>
        <w:t>.</w:t>
      </w:r>
      <w:r w:rsidR="008F29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Le plus petit tel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est appelé indice de nilpotence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4BA7A961" w14:textId="4EC57E6E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</w:p>
    <w:p w14:paraId="76B88DF7" w14:textId="71EBC1DA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3EE9772E" w14:textId="175E36E6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nilpotent</w:t>
      </w:r>
    </w:p>
    <w:p w14:paraId="2D352066" w14:textId="6CB25FEC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triangulaire </w:t>
      </w:r>
      <w:r>
        <w:rPr>
          <w:rFonts w:eastAsiaTheme="minorEastAsia"/>
          <w:iCs/>
          <w:u w:val="single"/>
        </w:rPr>
        <w:t>stricte</w:t>
      </w:r>
    </w:p>
    <w:p w14:paraId="10EB9DF1" w14:textId="4756731D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>.</w:t>
      </w:r>
    </w:p>
    <w:p w14:paraId="23340B07" w14:textId="7A07185B" w:rsidR="00FE5732" w:rsidRDefault="00FE5732" w:rsidP="00FE5732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Propriété :</w:t>
      </w:r>
    </w:p>
    <w:p w14:paraId="66CC871A" w14:textId="6073EE64" w:rsidR="00FE5732" w:rsidRDefault="00FE5732" w:rsidP="00FE57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7B6A8B60" w14:textId="12E714A1" w:rsidR="00FE5732" w:rsidRDefault="00FE5732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nilpotente</w:t>
      </w:r>
    </w:p>
    <w:p w14:paraId="4B569911" w14:textId="7EE2AE59" w:rsidR="00FE5732" w:rsidRDefault="00FE5732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semblable à une matrice triangulaire stricte</w:t>
      </w:r>
    </w:p>
    <w:p w14:paraId="25E1F862" w14:textId="38BA05E6" w:rsidR="00FE5732" w:rsidRDefault="00000000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6AEBDC4" w14:textId="50910CC4" w:rsidR="00FE5732" w:rsidRDefault="00FE5732" w:rsidP="00FE573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Corollaire :</w:t>
      </w:r>
    </w:p>
    <w:p w14:paraId="3624C289" w14:textId="77777777" w:rsidR="008F29F5" w:rsidRDefault="00FE5732" w:rsidP="008F29F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nilpotent avec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Alors l’indice de nilpotence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inférieur ou égal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ie</w:t>
      </w:r>
    </w:p>
    <w:p w14:paraId="086EA61F" w14:textId="4F535ABF" w:rsidR="00FE5732" w:rsidRDefault="00000000" w:rsidP="008F29F5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5AC0E00C" w14:textId="5198F9FD" w:rsidR="00FE5732" w:rsidRDefault="00FE5732" w:rsidP="008F29F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nilpotente, alors son indice </w:t>
      </w:r>
      <w:r w:rsidR="008F29F5">
        <w:rPr>
          <w:rFonts w:eastAsiaTheme="minorEastAsia"/>
        </w:rPr>
        <w:t xml:space="preserve">de nilpotence </w:t>
      </w:r>
      <m:oMath>
        <m:r>
          <w:rPr>
            <w:rFonts w:ascii="Cambria Math" w:eastAsiaTheme="minorEastAsia" w:hAnsi="Cambria Math"/>
          </w:rPr>
          <m:t>p</m:t>
        </m:r>
      </m:oMath>
      <w:r w:rsidR="008F29F5"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p≤n</m:t>
        </m:r>
      </m:oMath>
      <w:r w:rsidR="008F29F5">
        <w:rPr>
          <w:rFonts w:eastAsiaTheme="minorEastAsia"/>
        </w:rPr>
        <w:t xml:space="preserve">, ie </w:t>
      </w:r>
    </w:p>
    <w:p w14:paraId="392C9C4B" w14:textId="50D91BBD" w:rsidR="008F29F5" w:rsidRPr="00FE5732" w:rsidRDefault="00000000" w:rsidP="00A71D0E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sectPr w:rsidR="008F29F5" w:rsidRPr="00FE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C0"/>
    <w:multiLevelType w:val="hybridMultilevel"/>
    <w:tmpl w:val="2D9048A0"/>
    <w:lvl w:ilvl="0" w:tplc="16F64F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5775"/>
    <w:multiLevelType w:val="hybridMultilevel"/>
    <w:tmpl w:val="F112F88E"/>
    <w:lvl w:ilvl="0" w:tplc="45901B4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42B7"/>
    <w:multiLevelType w:val="hybridMultilevel"/>
    <w:tmpl w:val="63FE6E3A"/>
    <w:lvl w:ilvl="0" w:tplc="F9B66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C47B0"/>
    <w:multiLevelType w:val="hybridMultilevel"/>
    <w:tmpl w:val="7A023332"/>
    <w:lvl w:ilvl="0" w:tplc="34AC01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5C1E"/>
    <w:multiLevelType w:val="hybridMultilevel"/>
    <w:tmpl w:val="15C68E8A"/>
    <w:lvl w:ilvl="0" w:tplc="C31471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A446E"/>
    <w:multiLevelType w:val="hybridMultilevel"/>
    <w:tmpl w:val="B5B4383E"/>
    <w:lvl w:ilvl="0" w:tplc="F77E27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4E32"/>
    <w:multiLevelType w:val="hybridMultilevel"/>
    <w:tmpl w:val="140457D4"/>
    <w:lvl w:ilvl="0" w:tplc="BD480C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C0134"/>
    <w:multiLevelType w:val="hybridMultilevel"/>
    <w:tmpl w:val="536CB0E2"/>
    <w:lvl w:ilvl="0" w:tplc="DE9810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5"/>
  </w:num>
  <w:num w:numId="2" w16cid:durableId="1040207270">
    <w:abstractNumId w:val="7"/>
  </w:num>
  <w:num w:numId="3" w16cid:durableId="1440568990">
    <w:abstractNumId w:val="3"/>
  </w:num>
  <w:num w:numId="4" w16cid:durableId="2038961954">
    <w:abstractNumId w:val="1"/>
  </w:num>
  <w:num w:numId="5" w16cid:durableId="667944296">
    <w:abstractNumId w:val="9"/>
  </w:num>
  <w:num w:numId="6" w16cid:durableId="2146198797">
    <w:abstractNumId w:val="10"/>
  </w:num>
  <w:num w:numId="7" w16cid:durableId="375931213">
    <w:abstractNumId w:val="8"/>
  </w:num>
  <w:num w:numId="8" w16cid:durableId="1998537566">
    <w:abstractNumId w:val="2"/>
  </w:num>
  <w:num w:numId="9" w16cid:durableId="862476653">
    <w:abstractNumId w:val="12"/>
  </w:num>
  <w:num w:numId="10" w16cid:durableId="1846094857">
    <w:abstractNumId w:val="6"/>
  </w:num>
  <w:num w:numId="11" w16cid:durableId="284432814">
    <w:abstractNumId w:val="11"/>
  </w:num>
  <w:num w:numId="12" w16cid:durableId="1927224218">
    <w:abstractNumId w:val="0"/>
  </w:num>
  <w:num w:numId="13" w16cid:durableId="521944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0288C"/>
    <w:rsid w:val="001262DF"/>
    <w:rsid w:val="001A7DB4"/>
    <w:rsid w:val="002323F7"/>
    <w:rsid w:val="002C6A09"/>
    <w:rsid w:val="002C7D8B"/>
    <w:rsid w:val="002F4044"/>
    <w:rsid w:val="00470B55"/>
    <w:rsid w:val="004A7F11"/>
    <w:rsid w:val="00501829"/>
    <w:rsid w:val="0051436B"/>
    <w:rsid w:val="00524548"/>
    <w:rsid w:val="005412CE"/>
    <w:rsid w:val="0056182C"/>
    <w:rsid w:val="00587C02"/>
    <w:rsid w:val="006313B8"/>
    <w:rsid w:val="00764CA5"/>
    <w:rsid w:val="008015CE"/>
    <w:rsid w:val="008B1212"/>
    <w:rsid w:val="008F29F5"/>
    <w:rsid w:val="009572BC"/>
    <w:rsid w:val="0098574F"/>
    <w:rsid w:val="009D575F"/>
    <w:rsid w:val="00A71D0E"/>
    <w:rsid w:val="00CC693F"/>
    <w:rsid w:val="00DE6AD4"/>
    <w:rsid w:val="00E327A1"/>
    <w:rsid w:val="00E80463"/>
    <w:rsid w:val="00EA4E46"/>
    <w:rsid w:val="00ED4AB8"/>
    <w:rsid w:val="00F05827"/>
    <w:rsid w:val="00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8</Pages>
  <Words>2072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17</cp:revision>
  <cp:lastPrinted>2023-10-02T19:00:00Z</cp:lastPrinted>
  <dcterms:created xsi:type="dcterms:W3CDTF">2023-10-01T11:29:00Z</dcterms:created>
  <dcterms:modified xsi:type="dcterms:W3CDTF">2023-10-21T10:17:00Z</dcterms:modified>
</cp:coreProperties>
</file>