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E4C4" w14:textId="2157F564" w:rsidR="0009223C" w:rsidRDefault="004D29A7" w:rsidP="004D29A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5 – Séries entières</w:t>
      </w:r>
    </w:p>
    <w:p w14:paraId="7A8ED036" w14:textId="75A3529D" w:rsidR="004D29A7" w:rsidRDefault="004D29A7" w:rsidP="004D29A7">
      <w:pPr>
        <w:rPr>
          <w:b/>
          <w:bCs/>
        </w:rPr>
      </w:pPr>
      <w:r>
        <w:tab/>
      </w:r>
      <w:r>
        <w:rPr>
          <w:b/>
          <w:bCs/>
        </w:rPr>
        <w:t>Définition</w:t>
      </w:r>
    </w:p>
    <w:p w14:paraId="000B1B6E" w14:textId="13C716C1" w:rsidR="004D29A7" w:rsidRDefault="004D29A7" w:rsidP="004D29A7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</w:p>
    <w:p w14:paraId="02F7903F" w14:textId="384175CD" w:rsidR="004D29A7" w:rsidRDefault="004D29A7" w:rsidP="004D29A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 xml:space="preserve">série </w:t>
      </w:r>
      <w:r w:rsidR="006072F6">
        <w:rPr>
          <w:rFonts w:eastAsiaTheme="minorEastAsia"/>
          <w:u w:val="single"/>
        </w:rPr>
        <w:t>entière</w:t>
      </w:r>
      <w:r w:rsidR="006072F6" w:rsidRPr="006072F6">
        <w:rPr>
          <w:rFonts w:eastAsiaTheme="minorEastAsia"/>
        </w:rPr>
        <w:t xml:space="preserve"> </w:t>
      </w:r>
      <w:r w:rsidR="006072F6">
        <w:rPr>
          <w:rFonts w:eastAsiaTheme="minorEastAsia"/>
        </w:rPr>
        <w:t>(</w:t>
      </w:r>
      <w:r>
        <w:rPr>
          <w:rFonts w:eastAsiaTheme="minorEastAsia"/>
        </w:rPr>
        <w:t xml:space="preserve">S.E) définie par la suite complexe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C23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:C→C, </m:t>
        </m:r>
        <m:r>
          <w:rPr>
            <w:rFonts w:ascii="Cambria Math" w:eastAsiaTheme="minorEastAsia" w:hAnsi="Cambria Math"/>
          </w:rPr>
          <m:t>z↦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594A329" w14:textId="6003AC9B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Par abus de notation, on note cette série de fonction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C4C51F2" w14:textId="165BAEA9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L’ensemble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des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par lesquels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CV est appelé le domaine de convergence de la S.E.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et la fonction </w:t>
      </w:r>
      <m:oMath>
        <m:r>
          <w:rPr>
            <w:rFonts w:ascii="Cambria Math" w:eastAsiaTheme="minorEastAsia" w:hAnsi="Cambria Math"/>
          </w:rPr>
          <m:t>S :</m:t>
        </m:r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→C, </m:t>
        </m:r>
        <m:r>
          <w:rPr>
            <w:rFonts w:ascii="Cambria Math" w:eastAsiaTheme="minorEastAsia" w:hAnsi="Cambria Math"/>
          </w:rPr>
          <m:t>z↦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est appelé somme de la série entière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CB8A429" w14:textId="26A38BA2" w:rsidR="000C23E8" w:rsidRDefault="000C23E8" w:rsidP="004D29A7">
      <w:pPr>
        <w:rPr>
          <w:rFonts w:eastAsiaTheme="minorEastAsia"/>
          <w:color w:val="7030A0"/>
          <w:u w:val="single"/>
        </w:rPr>
      </w:pPr>
      <w:r>
        <w:rPr>
          <w:rFonts w:eastAsiaTheme="minorEastAsia"/>
          <w:color w:val="7030A0"/>
        </w:rPr>
        <w:t>Exemple :</w:t>
      </w:r>
      <w:r>
        <w:rPr>
          <w:rFonts w:eastAsiaTheme="minorEastAsia"/>
          <w:color w:val="7030A0"/>
          <w:u w:val="single"/>
        </w:rPr>
        <w:t xml:space="preserve"> </w:t>
      </w:r>
    </w:p>
    <w:p w14:paraId="2B4331BB" w14:textId="0E361C16" w:rsidR="000C23E8" w:rsidRPr="000C23E8" w:rsidRDefault="000C23E8" w:rsidP="000C23E8">
      <w:pPr>
        <w:pStyle w:val="Paragraphedeliste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La SE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r>
              <w:rPr>
                <w:rFonts w:ascii="Cambria Math" w:eastAsiaTheme="minorEastAsia" w:hAnsi="Cambria Math"/>
                <w:color w:val="7030A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a pour domaine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 xml:space="preserve">∈C,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&lt;1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 xml:space="preserve"> :=D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0;1</m:t>
            </m:r>
          </m:e>
        </m:d>
      </m:oMath>
      <w:r>
        <w:rPr>
          <w:rFonts w:eastAsiaTheme="minorEastAsia"/>
          <w:color w:val="7030A0"/>
        </w:rPr>
        <w:t xml:space="preserve"> = disque ouvert de centre 0 et de rayon 1</w:t>
      </w:r>
    </w:p>
    <w:p w14:paraId="635A1D28" w14:textId="131D76CE" w:rsidR="000C23E8" w:rsidRDefault="000C23E8" w:rsidP="000C23E8">
      <w:pPr>
        <w:ind w:left="360"/>
        <w:rPr>
          <w:b/>
          <w:bCs/>
        </w:rPr>
      </w:pPr>
      <w:r>
        <w:rPr>
          <w:b/>
          <w:bCs/>
        </w:rPr>
        <w:t>Rayon de convergence</w:t>
      </w:r>
    </w:p>
    <w:p w14:paraId="3C547032" w14:textId="649EE676" w:rsidR="000C23E8" w:rsidRDefault="000C23E8" w:rsidP="000C23E8">
      <w:pPr>
        <w:rPr>
          <w:rFonts w:eastAsiaTheme="minorEastAsia"/>
        </w:rPr>
      </w:pPr>
      <w:r>
        <w:rPr>
          <w:u w:val="single"/>
        </w:rPr>
        <w:t>Lemme d’Abel :</w:t>
      </w:r>
      <w:r>
        <w:t xml:space="preserve">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est bornée. Alors pour tout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converge absolument.</w:t>
      </w:r>
    </w:p>
    <w:p w14:paraId="69EB794F" w14:textId="6E114610" w:rsidR="000C23E8" w:rsidRDefault="000C23E8" w:rsidP="000C23E8">
      <w:pPr>
        <w:rPr>
          <w:rFonts w:ascii="Cambria Math" w:eastAsiaTheme="minorEastAsia" w:hAnsi="Cambria Math" w:cs="Cambria Math"/>
          <w:color w:val="FF3399"/>
        </w:rPr>
      </w:pPr>
      <w:r w:rsidRPr="000C23E8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Pr="000C23E8">
        <w:rPr>
          <w:rFonts w:ascii="Cambria Math" w:eastAsiaTheme="minorEastAsia" w:hAnsi="Cambria Math" w:cs="Cambria Math"/>
          <w:color w:val="FF3399"/>
        </w:rPr>
        <w:t>⍟</w:t>
      </w:r>
    </w:p>
    <w:p w14:paraId="1CF0C742" w14:textId="6A4C0508" w:rsidR="000C23E8" w:rsidRPr="000C23E8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color w:val="FF3399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r>
              <w:rPr>
                <w:rFonts w:ascii="Cambria Math" w:hAnsi="Cambria Math"/>
                <w:color w:val="FF3399"/>
              </w:rPr>
              <m:t>z</m:t>
            </m:r>
          </m:e>
          <m:sub>
            <m:r>
              <w:rPr>
                <w:rFonts w:ascii="Cambria Math" w:hAnsi="Cambria Math"/>
                <w:color w:val="FF3399"/>
              </w:rPr>
              <m:t>0</m:t>
            </m:r>
          </m:sub>
        </m:sSub>
        <m:r>
          <w:rPr>
            <w:rFonts w:ascii="Cambria Math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>, donc la propriété est vérifiée.</w:t>
      </w:r>
    </w:p>
    <w:p w14:paraId="2A4BEDD5" w14:textId="576FC3C1" w:rsidR="000C23E8" w:rsidRPr="00345010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≠0,</m:t>
        </m:r>
      </m:oMath>
      <w:r w:rsidR="00345010"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 w:rsidR="00345010"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 w:rsidR="00345010">
        <w:rPr>
          <w:rFonts w:eastAsiaTheme="minorEastAsia"/>
          <w:color w:val="FF3399"/>
        </w:rPr>
        <w:t xml:space="preserve">. Comme la suite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</m:oMath>
      <w:r w:rsidR="00345010">
        <w:rPr>
          <w:rFonts w:eastAsiaTheme="minorEastAsia"/>
          <w:color w:val="FF3399"/>
        </w:rPr>
        <w:t xml:space="preserve"> est bornée, </w:t>
      </w:r>
    </w:p>
    <w:p w14:paraId="5236921E" w14:textId="1750A059" w:rsidR="00345010" w:rsidRPr="00345010" w:rsidRDefault="00345010" w:rsidP="00345010">
      <w:pPr>
        <w:pStyle w:val="Paragraphedeliste"/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∃M∈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  <m:sub>
              <m:r>
                <w:rPr>
                  <w:rFonts w:ascii="Cambria Math" w:hAnsi="Cambria Math"/>
                  <w:color w:val="FF3399"/>
                </w:rPr>
                <m:t>+</m:t>
              </m:r>
            </m:sub>
          </m:sSub>
          <m:r>
            <w:rPr>
              <w:rFonts w:ascii="Cambria Math" w:hAnsi="Cambria Math"/>
              <w:color w:val="FF3399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color w:val="FF3399"/>
            </w:rPr>
            <m:t xml:space="preserve">∈N,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339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3399"/>
            </w:rPr>
            <m:t>&lt;M</m:t>
          </m:r>
        </m:oMath>
      </m:oMathPara>
    </w:p>
    <w:p w14:paraId="53EDECFB" w14:textId="63B1F894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Alors </w:t>
      </w:r>
      <m:oMath>
        <m:r>
          <w:rPr>
            <w:rFonts w:ascii="Cambria Math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hAnsi="Cambria Math"/>
            <w:color w:val="FF3399"/>
          </w:rPr>
          <m:t xml:space="preserve">∈N, </m:t>
        </m:r>
        <m:r>
          <w:rPr>
            <w:rFonts w:ascii="Cambria Math" w:hAnsi="Cambria Math"/>
            <w:color w:val="FF3399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FF3399"/>
          </w:rPr>
          <m:t>×</m:t>
        </m:r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≤M×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33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&lt;1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EE33626" w14:textId="1CE3B00E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la série géométrique </w:t>
      </w:r>
      <m:oMath>
        <m:r>
          <w:rPr>
            <w:rFonts w:ascii="Cambria Math" w:eastAsiaTheme="minorEastAsia" w:hAnsi="Cambria Math"/>
            <w:color w:val="FF3399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CV, donc par comparaison de SATP, </w:t>
      </w:r>
      <m:oMath>
        <m:r>
          <w:rPr>
            <w:rFonts w:ascii="Cambria Math" w:eastAsiaTheme="minorEastAsia" w:hAnsi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color w:val="FF3399"/>
        </w:rPr>
        <w:t xml:space="preserve"> CV,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</w:t>
      </w:r>
    </w:p>
    <w:p w14:paraId="382341C5" w14:textId="7470F387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0A51E617" w14:textId="6E41B565" w:rsidR="00345010" w:rsidRDefault="00345010" w:rsidP="00345010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rayon de convergence (R</w:t>
      </w:r>
      <w:r>
        <w:rPr>
          <w:vertAlign w:val="subscript"/>
        </w:rPr>
        <w:t>CV</w:t>
      </w:r>
      <w:r>
        <w:t xml:space="preserve">) de la série entière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l’élément :</w:t>
      </w:r>
    </w:p>
    <w:p w14:paraId="3DA09CE9" w14:textId="42AEE5DB" w:rsidR="00345010" w:rsidRPr="00345010" w:rsidRDefault="00345010" w:rsidP="00345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La suite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est bornée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</m:t>
              </m:r>
            </m:e>
          </m:d>
        </m:oMath>
      </m:oMathPara>
    </w:p>
    <w:p w14:paraId="0C979EDD" w14:textId="13DDA162" w:rsidR="00345010" w:rsidRDefault="00345010" w:rsidP="00345010">
      <w:pPr>
        <w:rPr>
          <w:rFonts w:eastAsiaTheme="minorEastAsia"/>
        </w:rPr>
      </w:pPr>
      <w:r>
        <w:rPr>
          <w:rFonts w:eastAsiaTheme="minorEastAsia"/>
        </w:rPr>
        <w:t xml:space="preserve">Remarque : cet ensemble est non vide car pour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la suite correspondante vaut la suite nulle.</w:t>
      </w:r>
    </w:p>
    <w:p w14:paraId="490E4C89" w14:textId="4E40CF83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7030A0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e>
        </m:nary>
      </m:oMath>
    </w:p>
    <w:p w14:paraId="08990084" w14:textId="4EC10072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</m:oMath>
      <w:r>
        <w:rPr>
          <w:rFonts w:eastAsiaTheme="minorEastAsia"/>
          <w:color w:val="7030A0"/>
        </w:rPr>
        <w:t xml:space="preserve">, si </w:t>
      </w:r>
      <m:oMath>
        <m:r>
          <w:rPr>
            <w:rFonts w:ascii="Cambria Math" w:eastAsiaTheme="minorEastAsia" w:hAnsi="Cambria Math"/>
            <w:color w:val="7030A0"/>
          </w:rPr>
          <m:t>r≠0</m:t>
        </m:r>
      </m:oMath>
      <w:r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n!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-1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+∞</m:t>
        </m:r>
      </m:oMath>
    </w:p>
    <w:p w14:paraId="3894C6D0" w14:textId="4108BA95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n!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n’est pas bornée, donc </w:t>
      </w:r>
      <m:oMath>
        <m:r>
          <w:rPr>
            <w:rFonts w:ascii="Cambria Math" w:eastAsiaTheme="minorEastAsia" w:hAnsi="Cambria Math"/>
            <w:color w:val="7030A0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77015CB1" w14:textId="10225C90" w:rsidR="003D279F" w:rsidRPr="003D279F" w:rsidRDefault="003D279F" w:rsidP="0034501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De manière équivalent, on a aussi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n→+∞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</m:oMath>
    </w:p>
    <w:p w14:paraId="5BC07A82" w14:textId="73629C03" w:rsidR="00345010" w:rsidRDefault="003D279F" w:rsidP="00345010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3A4B826F" w14:textId="30C961DE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CVA</w:t>
      </w:r>
    </w:p>
    <w:p w14:paraId="70ADA8FE" w14:textId="104AFAD9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DVG</w:t>
      </w:r>
    </w:p>
    <w:p w14:paraId="6F038339" w14:textId="42D56B35" w:rsidR="003D279F" w:rsidRDefault="003D279F" w:rsidP="003D279F">
      <w:pPr>
        <w:rPr>
          <w:rFonts w:ascii="Cambria Math" w:hAnsi="Cambria Math" w:cs="Cambria Math"/>
          <w:color w:val="FF3399"/>
        </w:rPr>
      </w:pPr>
      <w:r w:rsidRPr="003D279F">
        <w:rPr>
          <w:color w:val="FF3399"/>
          <w:u w:val="single"/>
        </w:rPr>
        <w:t>Démonstration :</w:t>
      </w:r>
      <w:r>
        <w:t xml:space="preserve"> </w:t>
      </w:r>
      <w:r w:rsidRPr="003D279F">
        <w:rPr>
          <w:rFonts w:ascii="Cambria Math" w:hAnsi="Cambria Math" w:cs="Cambria Math"/>
          <w:color w:val="FF3399"/>
        </w:rPr>
        <w:t>⍟</w:t>
      </w:r>
    </w:p>
    <w:p w14:paraId="68E82E84" w14:textId="215B00B8" w:rsidR="003D279F" w:rsidRPr="003D279F" w:rsidRDefault="003D279F" w:rsidP="003D279F">
      <w:pPr>
        <w:pStyle w:val="Paragraphedeliste"/>
        <w:numPr>
          <w:ilvl w:val="0"/>
          <w:numId w:val="6"/>
        </w:numPr>
        <w:rPr>
          <w:color w:val="FF3399"/>
        </w:rPr>
      </w:pPr>
      <w:r>
        <w:rPr>
          <w:color w:val="FF3399"/>
        </w:rPr>
        <w:t xml:space="preserve">Si </w:t>
      </w:r>
      <m:oMath>
        <m:r>
          <w:rPr>
            <w:rFonts w:ascii="Cambria Math" w:hAnsi="Cambria Math"/>
            <w:color w:val="FF3399"/>
          </w:rPr>
          <m:t>R=0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. On suppose donc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34B0D67E" w14:textId="3415AAC1" w:rsidR="003D279F" w:rsidRPr="00FE7DDE" w:rsidRDefault="003D279F" w:rsidP="003D279F">
      <w:pPr>
        <w:pStyle w:val="Paragraphedeliste"/>
        <w:ind w:left="1080"/>
        <w:rPr>
          <w:rFonts w:eastAsiaTheme="minorEastAsia"/>
          <w:iCs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z</m:t>
        </m:r>
      </m:oMath>
      <w:r w:rsidR="00FE7DDE">
        <w:rPr>
          <w:rFonts w:eastAsiaTheme="minorEastAsia"/>
          <w:color w:val="FF3399"/>
        </w:rPr>
        <w:t xml:space="preserve"> n’est pas un majorant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55E7430D" w14:textId="725FB134" w:rsidR="003D279F" w:rsidRDefault="00FE7DDE" w:rsidP="003D279F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il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  <w:r>
        <w:rPr>
          <w:rFonts w:eastAsiaTheme="minorEastAsia"/>
          <w:color w:val="FF3399"/>
        </w:rPr>
        <w:t xml:space="preserve"> vérifiant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68E8E64B" w14:textId="3039B67E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peut alors appliquer le Lemme d’Abel (car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bornée, et donc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>CVA.</w:t>
      </w:r>
    </w:p>
    <w:p w14:paraId="6D6615DA" w14:textId="666955A9" w:rsidR="00FE7DDE" w:rsidRDefault="00FE7DDE" w:rsidP="00FE7DDE">
      <w:pPr>
        <w:pStyle w:val="Paragraphedeliste"/>
        <w:numPr>
          <w:ilvl w:val="0"/>
          <w:numId w:val="6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est bornée</m:t>
                </m:r>
              </m:e>
            </m:d>
          </m:e>
        </m:func>
      </m:oMath>
      <w:r>
        <w:rPr>
          <w:rFonts w:eastAsiaTheme="minorEastAsia"/>
          <w:color w:val="FF3399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18623E3D" w14:textId="3E6F3DED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bornée, or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</w:p>
    <w:p w14:paraId="440E0A24" w14:textId="64688660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bornée.</w:t>
      </w:r>
    </w:p>
    <w:p w14:paraId="7EF5C1E1" w14:textId="546CBDA6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</w:t>
      </w:r>
    </w:p>
    <w:p w14:paraId="296584E9" w14:textId="5E0B052B" w:rsidR="00FE7DDE" w:rsidRDefault="00FE7DDE" w:rsidP="00FE7DDE">
      <w:pPr>
        <w:rPr>
          <w:rFonts w:eastAsiaTheme="minorEastAsia"/>
        </w:rPr>
      </w:pPr>
      <w:r>
        <w:rPr>
          <w:rFonts w:eastAsiaTheme="minorEastAsia"/>
        </w:rPr>
        <w:t>Remarque : on utilise très souvent la contraposée du théorème précédent.</w:t>
      </w:r>
    </w:p>
    <w:p w14:paraId="657D8796" w14:textId="7A3058BB" w:rsidR="00097CA4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diverge mais pas grossièrement,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5796C439" w14:textId="6266CABB" w:rsidR="00097CA4" w:rsidRPr="00B31C22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est semi-convergente,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72009E6E" w14:textId="42F66E25" w:rsidR="00B31C22" w:rsidRDefault="00B31C22" w:rsidP="00FE7DD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42B2B118" w14:textId="380DDB49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77C45B88" w14:textId="4F9EDCC5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R=+∞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</w:p>
    <w:p w14:paraId="244E3115" w14:textId="3485C5EC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R∈]0 ;+∞[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⊂D⊂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0,R</m:t>
                </m:r>
              </m:e>
            </m:d>
          </m:e>
        </m:bar>
      </m:oMath>
      <w:r>
        <w:rPr>
          <w:rFonts w:eastAsiaTheme="minorEastAsia"/>
        </w:rPr>
        <w:t xml:space="preserve">,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&lt;R</m:t>
                    </m:r>
                  </m:e>
                </m:d>
              </m:e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0,R</m:t>
                        </m:r>
                      </m:e>
                    </m:d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≤R</m:t>
                    </m:r>
                  </m:e>
                </m:d>
              </m:e>
            </m:eqArr>
          </m:e>
        </m:d>
      </m:oMath>
    </w:p>
    <w:p w14:paraId="610DCB3B" w14:textId="1B07FCF3" w:rsidR="000E3BB5" w:rsidRP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une S.E.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Le disque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>
        <w:rPr>
          <w:rFonts w:eastAsiaTheme="minorEastAsia"/>
        </w:rPr>
        <w:t xml:space="preserve"> est appelé </w:t>
      </w:r>
      <w:r>
        <w:rPr>
          <w:rFonts w:eastAsiaTheme="minorEastAsia"/>
          <w:u w:val="single"/>
        </w:rPr>
        <w:t>disque ouvert de convergence</w:t>
      </w:r>
      <w:r w:rsidRPr="000E3BB5">
        <w:rPr>
          <w:rFonts w:eastAsiaTheme="minorEastAsia"/>
        </w:rPr>
        <w:t xml:space="preserve">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14:paraId="7728C4B2" w14:textId="03B96CDD" w:rsidR="00B31C22" w:rsidRDefault="000E3BB5" w:rsidP="000E3BB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Détermination pratique du rayon de convergence</w:t>
      </w:r>
    </w:p>
    <w:p w14:paraId="2EE44F78" w14:textId="19CE59CD" w:rsid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Règle de d’Alembert</w:t>
      </w:r>
    </w:p>
    <w:p w14:paraId="7043DCE9" w14:textId="6151A451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 tels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36FA4BF1" w14:textId="0E6CD88D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</w:rPr>
        <w:t xml:space="preserve">, 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15BD1C5" w14:textId="53B5CDAE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 w:rsidRPr="000E3BB5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26DC16DA" w14:textId="0F39AD21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posons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color w:val="FF3399"/>
          </w:rPr>
          <m:t>=</m:t>
        </m:r>
        <m:limLow>
          <m:limLow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Cambria Math"/>
                <w:color w:val="FF3399"/>
              </w:rPr>
              <m:t>≠0 si n≥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0</m:t>
                </m:r>
              </m:sub>
            </m:sSub>
          </m:lim>
        </m:limLow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="Cambria Math"/>
            <w:color w:val="FF3399"/>
          </w:rPr>
          <m:t>&gt;0 ∀n≥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0</m:t>
            </m:r>
          </m:sub>
        </m:sSub>
      </m:oMath>
    </w:p>
    <w:p w14:paraId="21215F72" w14:textId="212E47F4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Et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 w:cs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</m:oMath>
      <w:r>
        <w:rPr>
          <w:rFonts w:ascii="Cambria Math" w:eastAsiaTheme="minorEastAsia" w:hAnsi="Cambria Math" w:cs="Cambria Math"/>
          <w:color w:val="FF3399"/>
        </w:rPr>
        <w:t xml:space="preserve">. De plus, </w:t>
      </w:r>
      <m:oMath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FF3399"/>
              </w:rPr>
              <m:t>l</m:t>
            </m:r>
          </m:den>
        </m:f>
      </m:oMath>
    </w:p>
    <w:p w14:paraId="6267435D" w14:textId="6502D69F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Ainsi par la règle d’Alembert appliquée à la série numérique </w:t>
      </w:r>
      <m:oMath>
        <m:r>
          <w:rPr>
            <w:rFonts w:ascii="Cambria Math" w:eastAsiaTheme="minorEastAsia" w:hAnsi="Cambria Math" w:cs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FF3399"/>
        </w:rPr>
        <w:t> :</w:t>
      </w:r>
    </w:p>
    <w:p w14:paraId="7AE6BE68" w14:textId="66FFAF21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CV(A)</w:t>
      </w:r>
    </w:p>
    <w:p w14:paraId="4921A7EE" w14:textId="3DD57503" w:rsidR="003E3FAB" w:rsidRDefault="003E3FAB" w:rsidP="003E3F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ceci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&lt;R</m:t>
        </m:r>
      </m:oMath>
    </w:p>
    <w:p w14:paraId="53B7BE21" w14:textId="40DD0D64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color w:val="FF3399"/>
        </w:rPr>
        <w:t xml:space="preserve">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 w:rsidR="00F35870">
        <w:rPr>
          <w:rFonts w:eastAsiaTheme="minorEastAsia"/>
          <w:color w:val="FF3399"/>
        </w:rPr>
        <w:t xml:space="preserve"> DVG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 w:rsidR="00F35870">
        <w:rPr>
          <w:rFonts w:eastAsiaTheme="minorEastAsia"/>
          <w:color w:val="FF3399"/>
        </w:rPr>
        <w:t xml:space="preserve"> DVG aussi.</w:t>
      </w:r>
    </w:p>
    <w:p w14:paraId="6AE82199" w14:textId="2833F851" w:rsidR="00F35870" w:rsidRDefault="00F35870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≥R</m:t>
        </m:r>
      </m:oMath>
      <w:r>
        <w:rPr>
          <w:rFonts w:eastAsiaTheme="minorEastAsia"/>
          <w:color w:val="FF3399"/>
        </w:rPr>
        <w:t xml:space="preserve"> d’où en faisant tendre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  <w:r>
        <w:rPr>
          <w:rFonts w:eastAsiaTheme="minorEastAsia"/>
          <w:color w:val="FF3399"/>
        </w:rPr>
        <w:t xml:space="preserve"> vers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≥R</m:t>
        </m:r>
      </m:oMath>
    </w:p>
    <w:p w14:paraId="48A2862F" w14:textId="77777777" w:rsidR="00F35870" w:rsidRDefault="00F35870" w:rsidP="00F35870">
      <w:pPr>
        <w:pStyle w:val="Paragraphedeliste"/>
        <w:rPr>
          <w:rFonts w:eastAsiaTheme="minorEastAsia"/>
          <w:color w:val="FF3399"/>
        </w:rPr>
      </w:pPr>
    </w:p>
    <w:p w14:paraId="65B9566F" w14:textId="614D5269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r>
          <m:rPr>
            <m:sty m:val="p"/>
          </m:rP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 </w:t>
      </w:r>
    </w:p>
    <w:p w14:paraId="5D6207AA" w14:textId="554FA5F0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4EB1FB39" w14:textId="40F12542" w:rsidR="00F35870" w:rsidRDefault="00F35870" w:rsidP="00F3587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Règle de Cauchy :</w:t>
      </w:r>
      <w:r>
        <w:rPr>
          <w:rFonts w:eastAsiaTheme="minorEastAsia"/>
          <w:iCs/>
        </w:rPr>
        <w:t xml:space="preserve"> </w:t>
      </w:r>
    </w:p>
    <w:p w14:paraId="739C942A" w14:textId="7B4A63ED" w:rsidR="00F35870" w:rsidRDefault="00F35870" w:rsidP="00F35870">
      <w:pPr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  <w:iCs/>
        </w:rPr>
        <w:t xml:space="preserve"> une suite complexe. Si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44DB09D" w14:textId="565268C3" w:rsidR="00F35870" w:rsidRDefault="00F35870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042FE7">
        <w:rPr>
          <w:rFonts w:eastAsiaTheme="minorEastAsia"/>
          <w:color w:val="FF3399"/>
        </w:rPr>
        <w:t xml:space="preserve"> </w:t>
      </w:r>
      <w:r w:rsidR="00042FE7">
        <w:rPr>
          <w:rFonts w:ascii="Cambria Math" w:eastAsiaTheme="minorEastAsia" w:hAnsi="Cambria Math" w:cs="Cambria Math"/>
          <w:color w:val="FF3399"/>
        </w:rPr>
        <w:t>⍟</w:t>
      </w:r>
    </w:p>
    <w:p w14:paraId="705FF6CF" w14:textId="52A287E9" w:rsidR="00042FE7" w:rsidRDefault="00221342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color w:val="FF3399"/>
        </w:rPr>
        <w:t>.</w:t>
      </w:r>
    </w:p>
    <w:p w14:paraId="29AAC74D" w14:textId="68E699E3" w:rsidR="00221342" w:rsidRDefault="00221342" w:rsidP="00F35870">
      <w:pPr>
        <w:rPr>
          <w:rFonts w:eastAsiaTheme="minorEastAsia"/>
          <w:iCs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den>
                    </m:f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</w:p>
    <w:p w14:paraId="22238387" w14:textId="5A5F876B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donc comme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par définition de la limite, </w:t>
      </w:r>
    </w:p>
    <w:p w14:paraId="72C2E1FA" w14:textId="490ED431" w:rsidR="00221342" w:rsidRP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≥1</m:t>
          </m:r>
        </m:oMath>
      </m:oMathPara>
    </w:p>
    <w:p w14:paraId="6A7F768B" w14:textId="3CE7FF7D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Et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1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  <w:r>
        <w:rPr>
          <w:rFonts w:eastAsiaTheme="minorEastAsia"/>
          <w:iCs/>
          <w:color w:val="FF3399"/>
        </w:rPr>
        <w:t xml:space="preserve">,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ne tend pas vers 0.</w:t>
      </w:r>
    </w:p>
    <w:p w14:paraId="46C977E9" w14:textId="5DA78DD4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color w:val="FF3399"/>
        </w:rPr>
        <w:t xml:space="preserve"> DVG, donc </w:t>
      </w:r>
      <m:oMath>
        <m:r>
          <w:rPr>
            <w:rFonts w:ascii="Cambria Math" w:eastAsiaTheme="minorEastAsia" w:hAnsi="Cambria Math"/>
            <w:color w:val="FF3399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0960D404" w14:textId="4D243888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</w:p>
    <w:p w14:paraId="79B30093" w14:textId="6C7C5E2B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par définition de la limite, </w:t>
      </w:r>
    </w:p>
    <w:p w14:paraId="0170B168" w14:textId="20F1F40C" w:rsidR="00221342" w:rsidRPr="00260D81" w:rsidRDefault="00221342" w:rsidP="00221342">
      <w:pPr>
        <w:pStyle w:val="Paragraphedeliste"/>
        <w:rPr>
          <w:rFonts w:eastAsiaTheme="minorEastAsia"/>
          <w:i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∃q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tel que </m:t>
          </m:r>
          <m:r>
            <w:rPr>
              <w:rFonts w:ascii="Cambria Math" w:eastAsiaTheme="minorEastAsia" w:hAnsi="Cambria Math"/>
              <w:color w:val="FF3399"/>
            </w:rPr>
            <m:t xml:space="preserve">0&lt;q&lt;1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et </m:t>
          </m:r>
          <m:r>
            <w:rPr>
              <w:rFonts w:ascii="Cambria Math" w:eastAsiaTheme="minorEastAsia" w:hAnsi="Cambria Math"/>
              <w:color w:val="FF3399"/>
            </w:rPr>
            <m:t xml:space="preserve"> 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≤q</m:t>
          </m:r>
        </m:oMath>
      </m:oMathPara>
    </w:p>
    <w:p w14:paraId="22F72871" w14:textId="657321ED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par croissance de </w:t>
      </w:r>
      <m:oMath>
        <m:r>
          <w:rPr>
            <w:rFonts w:ascii="Cambria Math" w:eastAsiaTheme="minorEastAsia" w:hAnsi="Cambria Math"/>
            <w:color w:val="FF3399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757B595C" w14:textId="77777777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par comparaison de SATP,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  <w:color w:val="FF3399"/>
        </w:rPr>
        <w:t xml:space="preserve"> CV, </w:t>
      </w:r>
    </w:p>
    <w:p w14:paraId="7B660A96" w14:textId="0A912606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CVA, ceci </w:t>
      </w:r>
      <m:oMath>
        <m:r>
          <w:rPr>
            <w:rFonts w:ascii="Cambria Math" w:eastAsiaTheme="minorEastAsia" w:hAnsi="Cambria Math"/>
            <w:color w:val="FF3399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2075449F" w14:textId="6223526C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donc par double inégalité, </w:t>
      </w:r>
      <m:oMath>
        <m: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187EFB1B" w14:textId="42C4CE98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2ACA5466" w14:textId="5F46A366" w:rsidR="00260D81" w:rsidRDefault="000F2CDC" w:rsidP="00260D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Cas des séries lacunaires</w:t>
      </w:r>
    </w:p>
    <w:p w14:paraId="3D32F644" w14:textId="2D8A44F3" w:rsidR="00221342" w:rsidRDefault="000F2CDC" w:rsidP="00F35870">
      <w:pPr>
        <w:rPr>
          <w:rFonts w:eastAsiaTheme="minorEastAsia"/>
        </w:rPr>
      </w:pPr>
      <w:r>
        <w:rPr>
          <w:rFonts w:eastAsiaTheme="minorEastAsia"/>
        </w:rPr>
        <w:t xml:space="preserve">Il se peut que l’on rencontre des séries de la forme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</w:p>
    <w:p w14:paraId="5999B033" w14:textId="613D98FA" w:rsidR="000F2CDC" w:rsidRDefault="000F2CDC" w:rsidP="00F35870">
      <w:pPr>
        <w:rPr>
          <w:rFonts w:eastAsiaTheme="minorEastAsia"/>
        </w:rPr>
      </w:pPr>
      <w:r>
        <w:rPr>
          <w:rFonts w:eastAsiaTheme="minorEastAsia"/>
        </w:rPr>
        <w:t>Ces deux séries peuvent s’interpréter comme les séries entières suivantes :</w:t>
      </w:r>
    </w:p>
    <w:p w14:paraId="2F770658" w14:textId="3E13F4F8" w:rsidR="000F2CDC" w:rsidRDefault="00000000" w:rsidP="000F2CDC">
      <w:pPr>
        <w:jc w:val="center"/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0F2CDC">
        <w:rPr>
          <w:rFonts w:eastAsiaTheme="minorEastAsia"/>
        </w:rPr>
        <w:t xml:space="preserve"> et resp.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</w:p>
    <w:p w14:paraId="5428B6D5" w14:textId="615AAF15" w:rsidR="000F2CDC" w:rsidRPr="000F2CDC" w:rsidRDefault="000F2CDC" w:rsidP="000F2CDC">
      <w:pPr>
        <w:rPr>
          <w:rFonts w:eastAsiaTheme="minorEastAsia"/>
        </w:rPr>
      </w:pPr>
      <w:r>
        <w:rPr>
          <w:rFonts w:eastAsiaTheme="minorEastAsia"/>
        </w:rPr>
        <w:t>Remarque : Très souvent, les règles de Cauchy et d’Alembert ne vont pas marcher. Dans ce cas,</w:t>
      </w:r>
      <w:r w:rsidR="00F907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on revient à la définition du rayon de convergence, soit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pour obtenir des inégalités sur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sectPr w:rsidR="000F2CDC" w:rsidRPr="000F2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557E" w14:textId="77777777" w:rsidR="006154A5" w:rsidRDefault="006154A5" w:rsidP="00345010">
      <w:pPr>
        <w:spacing w:after="0" w:line="240" w:lineRule="auto"/>
      </w:pPr>
      <w:r>
        <w:separator/>
      </w:r>
    </w:p>
  </w:endnote>
  <w:endnote w:type="continuationSeparator" w:id="0">
    <w:p w14:paraId="0258CF1E" w14:textId="77777777" w:rsidR="006154A5" w:rsidRDefault="006154A5" w:rsidP="003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696D4" w14:textId="77777777" w:rsidR="006154A5" w:rsidRDefault="006154A5" w:rsidP="00345010">
      <w:pPr>
        <w:spacing w:after="0" w:line="240" w:lineRule="auto"/>
      </w:pPr>
      <w:r>
        <w:separator/>
      </w:r>
    </w:p>
  </w:footnote>
  <w:footnote w:type="continuationSeparator" w:id="0">
    <w:p w14:paraId="42138FE5" w14:textId="77777777" w:rsidR="006154A5" w:rsidRDefault="006154A5" w:rsidP="0034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F1C"/>
    <w:multiLevelType w:val="hybridMultilevel"/>
    <w:tmpl w:val="87FC77AA"/>
    <w:lvl w:ilvl="0" w:tplc="C054F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26DE"/>
    <w:multiLevelType w:val="hybridMultilevel"/>
    <w:tmpl w:val="3536CC70"/>
    <w:lvl w:ilvl="0" w:tplc="607E3A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16FC0"/>
    <w:multiLevelType w:val="hybridMultilevel"/>
    <w:tmpl w:val="FDDC8B3C"/>
    <w:lvl w:ilvl="0" w:tplc="8D1A9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70CA"/>
    <w:multiLevelType w:val="hybridMultilevel"/>
    <w:tmpl w:val="D86A0216"/>
    <w:lvl w:ilvl="0" w:tplc="CB52BD0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1BD4"/>
    <w:multiLevelType w:val="hybridMultilevel"/>
    <w:tmpl w:val="090671A2"/>
    <w:lvl w:ilvl="0" w:tplc="BF6E83A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 Math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6528"/>
    <w:multiLevelType w:val="hybridMultilevel"/>
    <w:tmpl w:val="547A66F4"/>
    <w:lvl w:ilvl="0" w:tplc="CB981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340">
    <w:abstractNumId w:val="1"/>
  </w:num>
  <w:num w:numId="2" w16cid:durableId="2025009477">
    <w:abstractNumId w:val="4"/>
  </w:num>
  <w:num w:numId="3" w16cid:durableId="933972642">
    <w:abstractNumId w:val="5"/>
  </w:num>
  <w:num w:numId="4" w16cid:durableId="1318652753">
    <w:abstractNumId w:val="3"/>
  </w:num>
  <w:num w:numId="5" w16cid:durableId="698580956">
    <w:abstractNumId w:val="0"/>
  </w:num>
  <w:num w:numId="6" w16cid:durableId="42107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8"/>
    <w:rsid w:val="0003379B"/>
    <w:rsid w:val="00042FE7"/>
    <w:rsid w:val="0009223C"/>
    <w:rsid w:val="00097CA4"/>
    <w:rsid w:val="000C23E8"/>
    <w:rsid w:val="000E3BB5"/>
    <w:rsid w:val="000F2CDC"/>
    <w:rsid w:val="00167366"/>
    <w:rsid w:val="001937E5"/>
    <w:rsid w:val="00221342"/>
    <w:rsid w:val="00260D81"/>
    <w:rsid w:val="002F4044"/>
    <w:rsid w:val="00345010"/>
    <w:rsid w:val="003D279F"/>
    <w:rsid w:val="003E3FAB"/>
    <w:rsid w:val="004D29A7"/>
    <w:rsid w:val="005704B8"/>
    <w:rsid w:val="006072F6"/>
    <w:rsid w:val="006154A5"/>
    <w:rsid w:val="00B31C22"/>
    <w:rsid w:val="00F35870"/>
    <w:rsid w:val="00F90704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835"/>
  <w15:chartTrackingRefBased/>
  <w15:docId w15:val="{CBA2427D-078A-46C0-9F4C-AEAA49E5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29A7"/>
    <w:rPr>
      <w:color w:val="666666"/>
    </w:rPr>
  </w:style>
  <w:style w:type="paragraph" w:styleId="Paragraphedeliste">
    <w:name w:val="List Paragraph"/>
    <w:basedOn w:val="Normal"/>
    <w:uiPriority w:val="34"/>
    <w:qFormat/>
    <w:rsid w:val="000C23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4501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450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45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8048-7926-455C-85B5-F833CA5B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cp:lastPrinted>2023-11-16T17:56:00Z</cp:lastPrinted>
  <dcterms:created xsi:type="dcterms:W3CDTF">2023-11-13T13:31:00Z</dcterms:created>
  <dcterms:modified xsi:type="dcterms:W3CDTF">2023-11-16T17:59:00Z</dcterms:modified>
</cp:coreProperties>
</file>