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libaba PuHuiTi 3.0" w:hAnsi="Alibaba PuHuiTi 3.0" w:eastAsia="Alibaba PuHuiTi 3.0"/>
          <w:sz w:val="21"/>
        </w:rPr>
        <w:t>M04-02线性归因最终验收</w:t>
      </w:r>
    </w:p>
    <w:p>
      <w:pPr>
        <w:jc w:val="center"/>
      </w:pPr>
      <w:r>
        <w:rPr>
          <w:rFonts w:ascii="Alibaba PuHuiTi 3.0" w:hAnsi="Alibaba PuHuiTi 3.0" w:eastAsia="Alibaba PuHuiTi 3.0"/>
          <w:sz w:val="21"/>
        </w:rPr>
        <w:t>2026-08-13 至 2026-09-11 · 线性归因</w:t>
      </w:r>
    </w:p>
    <w:p>
      <w:pPr>
        <w:pStyle w:val="Heading1"/>
      </w:pPr>
      <w:r>
        <w:rPr>
          <w:rFonts w:ascii="Alibaba PuHuiTi 3.0" w:hAnsi="Alibaba PuHuiTi 3.0" w:eastAsia="Alibaba PuHuiTi 3.0"/>
          <w:sz w:val="21"/>
        </w:rPr>
        <w:t>核心经营指标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统计周期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2026-08-13 至 2026-09-11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归因方式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线性归因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曝光人数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实际触达人数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触达率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确认转化人数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触达后转化率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归因收入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¥12000.00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营销投入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¥3000.00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边际贡献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¥11500.00</w:t>
            </w:r>
          </w:p>
        </w:tc>
      </w:tr>
      <w:tr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ROI</w:t>
            </w:r>
          </w:p>
        </w:tc>
        <w:tc>
          <w:tcPr>
            <w:tcW w:type="dxa" w:w="4320"/>
          </w:tcPr>
          <w:p>
            <w:r>
              <w:rPr>
                <w:rFonts w:ascii="Alibaba PuHuiTi 3.0" w:hAnsi="Alibaba PuHuiTi 3.0" w:eastAsia="Alibaba PuHuiTi 3.0"/>
                <w:sz w:val="21"/>
              </w:rPr>
              <w:t>300.0%</w:t>
            </w:r>
          </w:p>
        </w:tc>
      </w:tr>
    </w:tbl>
    <w:p>
      <w:pPr>
        <w:pStyle w:val="Heading1"/>
      </w:pPr>
      <w:r>
        <w:rPr>
          <w:rFonts w:ascii="Alibaba PuHuiTi 3.0" w:hAnsi="Alibaba PuHuiTi 3.0" w:eastAsia="Alibaba PuHuiTi 3.0"/>
          <w:sz w:val="21"/>
        </w:rPr>
        <w:t>经营解读</w:t>
      </w:r>
    </w:p>
    <w:p>
      <w:r>
        <w:rPr>
          <w:rFonts w:ascii="Alibaba PuHuiTi 3.0" w:hAnsi="Alibaba PuHuiTi 3.0" w:eastAsia="Alibaba PuHuiTi 3.0"/>
          <w:sz w:val="21"/>
        </w:rPr>
        <w:t>统计周期内共覆盖 0 人，实际触达 0 人，触达率 0.0%；确认转化 0 人，触达后转化率 0.0%。归因收入 12000.00 元，营销投入 3000.00 元，边际贡献 11500.00 元，ROI 300.0%。当前周期尚无触达批次数据，建议先完成客户筛选和批次执行，再评估经营成效。</w:t>
      </w:r>
    </w:p>
    <w:p>
      <w:pPr>
        <w:pStyle w:val="Heading1"/>
      </w:pPr>
      <w:r>
        <w:rPr>
          <w:rFonts w:ascii="Alibaba PuHuiTi 3.0" w:hAnsi="Alibaba PuHuiTi 3.0" w:eastAsia="Alibaba PuHuiTi 3.0"/>
          <w:sz w:val="21"/>
        </w:rPr>
        <w:t>渠道归因分布</w:t>
      </w:r>
    </w:p>
    <w:p>
      <w:r>
        <w:rPr>
          <w:rFonts w:ascii="Alibaba PuHuiTi 3.0" w:hAnsi="Alibaba PuHuiTi 3.0" w:eastAsia="Alibaba PuHuiTi 3.0"/>
          <w:sz w:val="21"/>
        </w:rPr>
        <w:t>当前周期暂无可归因转化记录。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libaba PuHuiTi 3.0">
    <w:embedRegular r:id="rIdEmbeddedReportFont" w:fontKey="{07A24BC5-9AB2-447B-877B-E45BE4A11CB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libaba PuHuiTi 3.0" w:hAnsi="Alibaba PuHuiTi 3.0" w:eastAsia="Alibaba PuHuiTi 3.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EmbeddedReportFont" Type="http://schemas.openxmlformats.org/officeDocument/2006/relationships/font" Target="fonts/report-font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