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36"/>
        </w:rPr>
        <w:t xml:space="preserve">Returns and Warranty Policy</w:t>
      </w:r>
    </w:p>
    <w:p>
      <w:pPr>
        <w:spacing w:after="120"/>
      </w:pPr>
      <w:r>
        <w:rPr>
          <w:sz w:val="22"/>
        </w:rPr>
        <w:t xml:space="preserve">Virto Industrial Supply — effective 1 January 2026. This policy sits alongside clauses 6 and 7 of the Terms and Conditions of Sale.</w:t>
      </w:r>
    </w:p>
    <w:p>
      <w:pPr>
        <w:spacing w:after="80"/>
      </w:pPr>
      <w:r>
        <w:rPr>
          <w:b/>
          <w:sz w:val="26"/>
        </w:rPr>
        <w:t xml:space="preserve">1. Return material authorisation</w:t>
      </w:r>
    </w:p>
    <w:p>
      <w:pPr>
        <w:spacing w:after="120"/>
      </w:pPr>
      <w:r>
        <w:rPr>
          <w:sz w:val="22"/>
        </w:rPr>
        <w:t xml:space="preserve">No return is accepted without a return material authorisation (RMA) number. Request one from your account</w:t>
      </w:r>
    </w:p>
    <w:p>
      <w:pPr>
        <w:spacing w:after="120"/>
      </w:pPr>
      <w:r>
        <w:rPr>
          <w:sz w:val="22"/>
        </w:rPr>
        <w:t xml:space="preserve">representative or at returns@virtoindustrial.example, quoting the invoice number, part number and quantity.</w:t>
      </w:r>
    </w:p>
    <w:p>
      <w:pPr>
        <w:spacing w:after="120"/>
      </w:pPr>
      <w:r>
        <w:rPr>
          <w:sz w:val="22"/>
        </w:rPr>
        <w:t xml:space="preserve">An RMA is valid for 30 days from issue. Mark the number clearly on the outside of every carton.</w:t>
      </w:r>
    </w:p>
    <w:p>
      <w:pPr>
        <w:spacing w:after="80"/>
      </w:pPr>
      <w:r>
        <w:rPr>
          <w:b/>
          <w:sz w:val="26"/>
        </w:rPr>
        <w:t xml:space="preserve">2. What can be returned</w:t>
      </w:r>
    </w:p>
    <w:p>
      <w:pPr>
        <w:spacing w:after="120"/>
      </w:pPr>
      <w:r>
        <w:rPr>
          <w:sz w:val="22"/>
        </w:rPr>
        <w:t xml:space="preserve">Unused stock items in original, unopened packaging, within 60 days of the invoice date.</w:t>
      </w:r>
    </w:p>
    <w:p>
      <w:pPr>
        <w:spacing w:after="120"/>
      </w:pPr>
      <w:r>
        <w:rPr>
          <w:sz w:val="22"/>
        </w:rPr>
        <w:t xml:space="preserve">Items supplied in error or damaged in transit, notified within five working days of delivery.</w:t>
      </w:r>
    </w:p>
    <w:p>
      <w:pPr>
        <w:spacing w:after="120"/>
      </w:pPr>
      <w:r>
        <w:rPr>
          <w:sz w:val="22"/>
        </w:rPr>
        <w:t xml:space="preserve">Warranty claims under clause 6, at any point in the twelve month warranty period.</w:t>
      </w:r>
    </w:p>
    <w:p>
      <w:pPr>
        <w:spacing w:after="80"/>
      </w:pPr>
      <w:r>
        <w:rPr>
          <w:b/>
          <w:sz w:val="26"/>
        </w:rPr>
        <w:t xml:space="preserve">3. What cannot be returned</w:t>
      </w:r>
    </w:p>
    <w:p>
      <w:pPr>
        <w:spacing w:after="120"/>
      </w:pPr>
      <w:r>
        <w:rPr>
          <w:sz w:val="22"/>
        </w:rPr>
        <w:t xml:space="preserve">Special-order items sourced specifically for the customer.</w:t>
      </w:r>
    </w:p>
    <w:p>
      <w:pPr>
        <w:spacing w:after="120"/>
      </w:pPr>
      <w:r>
        <w:rPr>
          <w:sz w:val="22"/>
        </w:rPr>
        <w:t xml:space="preserve">Cut-to-length product, kitted assemblies and any item modified after delivery.</w:t>
      </w:r>
    </w:p>
    <w:p>
      <w:pPr>
        <w:spacing w:after="120"/>
      </w:pPr>
      <w:r>
        <w:rPr>
          <w:sz w:val="22"/>
        </w:rPr>
        <w:t xml:space="preserve">Hazardous materials, including lubricants and chemicals, once the seal is broken.</w:t>
      </w:r>
    </w:p>
    <w:p>
      <w:pPr>
        <w:spacing w:after="120"/>
      </w:pPr>
      <w:r>
        <w:rPr>
          <w:sz w:val="22"/>
        </w:rPr>
        <w:t xml:space="preserve">Items returned without an RMA number, which are held for 14 days and then disposed of.</w:t>
      </w:r>
    </w:p>
    <w:p>
      <w:pPr>
        <w:spacing w:after="80"/>
      </w:pPr>
      <w:r>
        <w:rPr>
          <w:b/>
          <w:sz w:val="26"/>
        </w:rPr>
        <w:t xml:space="preserve">4. Restocking</w:t>
      </w:r>
    </w:p>
    <w:p>
      <w:pPr>
        <w:spacing w:after="120"/>
      </w:pPr>
      <w:r>
        <w:rPr>
          <w:sz w:val="22"/>
        </w:rPr>
        <w:t xml:space="preserve">Stock returns accepted for credit are subject to a 15% restocking charge, waived where the return arises</w:t>
      </w:r>
    </w:p>
    <w:p>
      <w:pPr>
        <w:spacing w:after="120"/>
      </w:pPr>
      <w:r>
        <w:rPr>
          <w:sz w:val="22"/>
        </w:rPr>
        <w:t xml:space="preserve">from a supplier error or a warranty failure. Credit is issued at the price invoiced, net of the charge,</w:t>
      </w:r>
    </w:p>
    <w:p>
      <w:pPr>
        <w:spacing w:after="120"/>
      </w:pPr>
      <w:r>
        <w:rPr>
          <w:sz w:val="22"/>
        </w:rPr>
        <w:t xml:space="preserve">within ten working days of the goods being received and inspected.</w:t>
      </w:r>
    </w:p>
    <w:p>
      <w:pPr>
        <w:spacing w:after="80"/>
      </w:pPr>
      <w:r>
        <w:rPr>
          <w:b/>
          <w:sz w:val="26"/>
        </w:rPr>
        <w:t xml:space="preserve">5. Warranty claims</w:t>
      </w:r>
    </w:p>
    <w:p>
      <w:pPr>
        <w:spacing w:after="120"/>
      </w:pPr>
      <w:r>
        <w:rPr>
          <w:sz w:val="22"/>
        </w:rPr>
        <w:t xml:space="preserve">Goods are warranted free from defects in material and workmanship for twelve months from delivery.</w:t>
      </w:r>
    </w:p>
    <w:p>
      <w:pPr>
        <w:spacing w:after="120"/>
      </w:pPr>
      <w:r>
        <w:rPr>
          <w:sz w:val="22"/>
        </w:rPr>
        <w:t xml:space="preserve">Submit the invoice number, the part number, the date the defect appeared and a description of the</w:t>
      </w:r>
    </w:p>
    <w:p>
      <w:pPr>
        <w:spacing w:after="120"/>
      </w:pPr>
      <w:r>
        <w:rPr>
          <w:sz w:val="22"/>
        </w:rPr>
        <w:t xml:space="preserve">application. The supplier may request the goods for inspection before determining the claim.</w:t>
      </w:r>
    </w:p>
    <w:p>
      <w:pPr>
        <w:spacing w:after="120"/>
      </w:pPr>
      <w:r>
        <w:rPr>
          <w:sz w:val="22"/>
        </w:rPr>
        <w:t xml:space="preserve">Remedy is limited, at the supplier's option, to replacement of the goods or credit of the invoice value.</w:t>
      </w:r>
    </w:p>
    <w:p>
      <w:pPr>
        <w:spacing w:after="120"/>
      </w:pPr>
      <w:r>
        <w:rPr>
          <w:sz w:val="22"/>
        </w:rPr>
        <w:t xml:space="preserve">The warranty does not cover fair wear and tear, misapplication, or use outside published specifications.</w:t>
      </w:r>
    </w:p>
    <w:p>
      <w:pPr>
        <w:spacing w:after="80"/>
      </w:pPr>
      <w:r>
        <w:rPr>
          <w:b/>
          <w:sz w:val="26"/>
        </w:rPr>
        <w:t xml:space="preserve">6. Transport and risk</w:t>
      </w:r>
    </w:p>
    <w:p>
      <w:pPr>
        <w:spacing w:after="120"/>
      </w:pPr>
      <w:r>
        <w:rPr>
          <w:sz w:val="22"/>
        </w:rPr>
        <w:t xml:space="preserve">Return transport is arranged by the customer unless the return arises from a supplier error, in which</w:t>
      </w:r>
    </w:p>
    <w:p>
      <w:pPr>
        <w:spacing w:after="120"/>
      </w:pPr>
      <w:r>
        <w:rPr>
          <w:sz w:val="22"/>
        </w:rPr>
        <w:t xml:space="preserve">case the supplier arranges collection. Risk in returned goods passes to the supplier on receipt at the</w:t>
      </w:r>
    </w:p>
    <w:p>
      <w:pPr>
        <w:spacing w:after="120"/>
      </w:pPr>
      <w:r>
        <w:rPr>
          <w:sz w:val="22"/>
        </w:rPr>
        <w:t xml:space="preserve">Memphis distribution centre.</w:t>
      </w:r>
    </w:p>
    <w:p>
      <w:pPr>
        <w:spacing w:after="80"/>
      </w:pPr>
      <w:r>
        <w:rPr>
          <w:b/>
          <w:sz w:val="26"/>
        </w:rPr>
        <w:t xml:space="preserve">7. Escalation</w:t>
      </w:r>
    </w:p>
    <w:p>
      <w:pPr>
        <w:spacing w:after="120"/>
      </w:pPr>
      <w:r>
        <w:rPr>
          <w:sz w:val="22"/>
        </w:rPr>
        <w:t xml:space="preserve">A claim not resolved within 15 working days may be escalated to the customer service manager at</w:t>
      </w:r>
    </w:p>
    <w:p>
      <w:pPr>
        <w:spacing w:after="120"/>
      </w:pPr>
      <w:r>
        <w:rPr>
          <w:sz w:val="22"/>
        </w:rPr>
        <w:t xml:space="preserve">escalations@virtoindustrial.example, quoting the RMA number.</w:t>
      </w:r>
    </w:p>
    <w:sectPr>
      <w:pgSz w:w="11906" w:h="16838"/>
    </w:sectPr>
  </w:body>
</w:document>
</file>