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59" w:rsidRPr="008400FF" w:rsidRDefault="00DE5559" w:rsidP="005C1F1E">
      <w:pPr>
        <w:pStyle w:val="a3"/>
        <w:numPr>
          <w:ilvl w:val="0"/>
          <w:numId w:val="2"/>
        </w:numPr>
        <w:rPr>
          <w:b/>
        </w:rPr>
      </w:pPr>
      <w:r w:rsidRPr="008400FF">
        <w:rPr>
          <w:b/>
        </w:rPr>
        <w:t xml:space="preserve">Особенности архитектуры микроконтроллера MSP430;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16-тиразрядная RISC архитектура;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ортогональная архитектура, при которой каждая команда пригодна для каждого режима адресации;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27 основных команд + 24 эмулированных;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7 согласованных способов адресации;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полный доступ ко всем регистрам, включая счетчик команд, регистр состояния, и указатель стека;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генератор шести основных констант;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однотактные регистровые операции;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большой размер регистрового файла, уменьшающий количество обращений к памяти (16 регистров = 4 специальных + 12 РОН);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20-битная шина адреса, 16-битная шина данных;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Фон-Неймановская адресная шина общей памяти и шина данных памяти; </w:t>
      </w:r>
    </w:p>
    <w:p w:rsidR="005C1F1E" w:rsidRDefault="005C1F1E" w:rsidP="005C1F1E">
      <w:pPr>
        <w:pStyle w:val="a3"/>
      </w:pPr>
      <w:r>
        <w:sym w:font="Symbol" w:char="F02D"/>
      </w:r>
      <w:r>
        <w:t xml:space="preserve"> пересылки память-память без промежуточного сохранения в регистре.</w:t>
      </w:r>
    </w:p>
    <w:p w:rsidR="00E232CD" w:rsidRDefault="00E232CD" w:rsidP="005C1F1E">
      <w:pPr>
        <w:pStyle w:val="a3"/>
      </w:pPr>
    </w:p>
    <w:p w:rsidR="00DE5559" w:rsidRPr="008400FF" w:rsidRDefault="00DE5559" w:rsidP="005C1F1E">
      <w:pPr>
        <w:pStyle w:val="a3"/>
        <w:numPr>
          <w:ilvl w:val="0"/>
          <w:numId w:val="2"/>
        </w:numPr>
        <w:rPr>
          <w:b/>
        </w:rPr>
      </w:pPr>
      <w:r w:rsidRPr="008400FF">
        <w:rPr>
          <w:b/>
        </w:rPr>
        <w:t xml:space="preserve">Физические принципы работы портов; </w:t>
      </w:r>
    </w:p>
    <w:p w:rsidR="005C1F1E" w:rsidRDefault="00962472" w:rsidP="008400FF">
      <w:pPr>
        <w:pStyle w:val="a3"/>
        <w:ind w:firstLine="696"/>
      </w:pPr>
      <w:r>
        <w:t>М</w:t>
      </w:r>
      <w:r w:rsidR="008400FF">
        <w:t xml:space="preserve">икроконтроллер имеет 63 линии (ножки, вывода, </w:t>
      </w:r>
      <w:proofErr w:type="spellStart"/>
      <w:r w:rsidR="008400FF">
        <w:t>пина</w:t>
      </w:r>
      <w:proofErr w:type="spellEnd"/>
      <w:r w:rsidR="008400FF">
        <w:t>) ввода/вывода, объединенные в 8-миразрядн</w:t>
      </w:r>
      <w:r w:rsidR="00254170">
        <w:t>ые порты ввода/вывода P1, P2, …</w:t>
      </w:r>
      <w:r w:rsidR="008400FF">
        <w:t xml:space="preserve">, P8, PJ (для P8 </w:t>
      </w:r>
      <w:proofErr w:type="spellStart"/>
      <w:r w:rsidR="008400FF">
        <w:t>программно</w:t>
      </w:r>
      <w:proofErr w:type="spellEnd"/>
      <w:r w:rsidR="008400FF">
        <w:t xml:space="preserve"> доступно 3 бита, для PJ – 4 бита). Каждый из 63 </w:t>
      </w:r>
      <w:proofErr w:type="spellStart"/>
      <w:r w:rsidR="008400FF">
        <w:t>пинов</w:t>
      </w:r>
      <w:proofErr w:type="spellEnd"/>
      <w:r w:rsidR="008400FF">
        <w:t xml:space="preserve"> могут работать в режиме цифрового ввода/вывода, порты P1 – P7 могут быть сконфигурированы в режиме входа/выхода внутренней периферии микроконтроллера, </w:t>
      </w:r>
      <w:proofErr w:type="spellStart"/>
      <w:r w:rsidR="008400FF">
        <w:t>пины</w:t>
      </w:r>
      <w:proofErr w:type="spellEnd"/>
      <w:r w:rsidR="008400FF">
        <w:t xml:space="preserve"> порта PJ – могут быть сконфигурированы в качестве линий JTAG-интерфейса.</w:t>
      </w:r>
    </w:p>
    <w:p w:rsidR="00962472" w:rsidRDefault="008400FF" w:rsidP="008400FF">
      <w:pPr>
        <w:pStyle w:val="a3"/>
      </w:pPr>
      <w:r>
        <w:sym w:font="Symbol" w:char="F02D"/>
      </w:r>
      <w:r>
        <w:t xml:space="preserve"> независимые индивидуально программируемые входы/выходы;</w:t>
      </w:r>
    </w:p>
    <w:p w:rsidR="00962472" w:rsidRDefault="008400FF" w:rsidP="008400FF">
      <w:pPr>
        <w:pStyle w:val="a3"/>
      </w:pPr>
      <w:r>
        <w:sym w:font="Symbol" w:char="F02D"/>
      </w:r>
      <w:r>
        <w:t xml:space="preserve"> любые комбинации входа или выхода; </w:t>
      </w:r>
    </w:p>
    <w:p w:rsidR="00962472" w:rsidRDefault="008400FF" w:rsidP="008400FF">
      <w:pPr>
        <w:pStyle w:val="a3"/>
      </w:pPr>
      <w:r>
        <w:sym w:font="Symbol" w:char="F02D"/>
      </w:r>
      <w:r>
        <w:t xml:space="preserve"> индивидуально конфигурируемые прерывания от Р1 и Р2; </w:t>
      </w:r>
    </w:p>
    <w:p w:rsidR="008400FF" w:rsidRDefault="008400FF" w:rsidP="008400FF">
      <w:pPr>
        <w:pStyle w:val="a3"/>
      </w:pPr>
      <w:r>
        <w:sym w:font="Symbol" w:char="F02D"/>
      </w:r>
      <w:r>
        <w:t xml:space="preserve"> раздельные регистры данных для входов и выходов.</w:t>
      </w:r>
    </w:p>
    <w:p w:rsidR="00E232CD" w:rsidRDefault="00E232CD" w:rsidP="008400FF">
      <w:pPr>
        <w:pStyle w:val="a3"/>
      </w:pPr>
    </w:p>
    <w:p w:rsidR="00DE5559" w:rsidRPr="008400FF" w:rsidRDefault="00DE5559" w:rsidP="005C1F1E">
      <w:pPr>
        <w:pStyle w:val="a3"/>
        <w:numPr>
          <w:ilvl w:val="0"/>
          <w:numId w:val="2"/>
        </w:numPr>
        <w:rPr>
          <w:b/>
        </w:rPr>
      </w:pPr>
      <w:r w:rsidRPr="008400FF">
        <w:rPr>
          <w:b/>
        </w:rPr>
        <w:t xml:space="preserve">Типы регистров, доступных портам, и их назначение; </w:t>
      </w:r>
      <w:bookmarkStart w:id="0" w:name="_GoBack"/>
      <w:bookmarkEnd w:id="0"/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PxIN</w:t>
      </w:r>
      <w:proofErr w:type="spellEnd"/>
      <w:r>
        <w:t xml:space="preserve"> – каждый бит регистра отражает величину входного сигнала на соответствующей ножке (</w:t>
      </w:r>
      <w:proofErr w:type="spellStart"/>
      <w:r>
        <w:t>пине</w:t>
      </w:r>
      <w:proofErr w:type="spellEnd"/>
      <w:r>
        <w:t>) ввода/вывода, когда она сконфигурирована на функцию ввода/вывода;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PxOUT</w:t>
      </w:r>
      <w:proofErr w:type="spellEnd"/>
      <w:r>
        <w:t xml:space="preserve"> – каждый бит в регистре содержит значение, которое будет выведено на соответствующую ножку ввода/вывода, сконфигурированную на функцию ввода/вывода и имеющую направление на вывод; 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PxDIR</w:t>
      </w:r>
      <w:proofErr w:type="spellEnd"/>
      <w:r>
        <w:t xml:space="preserve"> – каждый бит в регистре позволяет независимо от выбранной для этой ножки функции (ввод/вывод или периферия) выбрать направление соответствующей ножки: 0 – вход, 1 – выход; 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PxREN</w:t>
      </w:r>
      <w:proofErr w:type="spellEnd"/>
      <w:r>
        <w:t xml:space="preserve"> – каждый бит в регистре включает или отключает подтягивающий резистор соответствующего ножки ввода / вывода.; 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PxDS</w:t>
      </w:r>
      <w:proofErr w:type="spellEnd"/>
      <w:r>
        <w:t xml:space="preserve"> – каждый бит в регистре осуществляет выбор допустимой выходной силы тока для соответствующей ножки: 0 – пониженная (по умолчанию), 1 – полная; 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PxSEL</w:t>
      </w:r>
      <w:proofErr w:type="spellEnd"/>
      <w:r>
        <w:t xml:space="preserve"> – каждый бит определяет, как будет использована ножка – в качестве порта ввода/вывода или в качестве функции периферийного модуля: 0 – I/O, 1 – периферия; 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PxIV</w:t>
      </w:r>
      <w:proofErr w:type="spellEnd"/>
      <w:r>
        <w:t xml:space="preserve"> – генерирует значение для изменения счетчика команд, соответствующее прерыванию с максимальным приоритетом; 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PxIE</w:t>
      </w:r>
      <w:proofErr w:type="spellEnd"/>
      <w:r>
        <w:t xml:space="preserve"> – каждый бит в регистре разрешает прерывания по соответствующей линии ввода/вывода; </w:t>
      </w:r>
    </w:p>
    <w:p w:rsidR="008400FF" w:rsidRDefault="008400FF" w:rsidP="005C1F1E">
      <w:pPr>
        <w:pStyle w:val="a3"/>
      </w:pPr>
      <w:r>
        <w:sym w:font="Symbol" w:char="F02D"/>
      </w:r>
      <w:r>
        <w:t xml:space="preserve"> </w:t>
      </w:r>
      <w:proofErr w:type="spellStart"/>
      <w:r>
        <w:t>PxIES</w:t>
      </w:r>
      <w:proofErr w:type="spellEnd"/>
      <w:r>
        <w:t xml:space="preserve"> – каждый бит в регистре определяет направление перепада для генерации запроса на прерывание: 0 – по фронту, 1 – по спаду; </w:t>
      </w:r>
    </w:p>
    <w:p w:rsidR="005C1F1E" w:rsidRDefault="008400FF" w:rsidP="005C1F1E">
      <w:pPr>
        <w:pStyle w:val="a3"/>
      </w:pPr>
      <w:r>
        <w:lastRenderedPageBreak/>
        <w:sym w:font="Symbol" w:char="F02D"/>
      </w:r>
      <w:r>
        <w:t xml:space="preserve"> </w:t>
      </w:r>
      <w:proofErr w:type="spellStart"/>
      <w:r>
        <w:t>PxIFG</w:t>
      </w:r>
      <w:proofErr w:type="spellEnd"/>
      <w:r>
        <w:t xml:space="preserve"> – каждый бит в регистре соответствует флагу запроса на прерывание по соответствующей линии ввода/вывода</w:t>
      </w:r>
    </w:p>
    <w:p w:rsidR="005C1F1E" w:rsidRDefault="005C1F1E" w:rsidP="005C1F1E">
      <w:pPr>
        <w:pStyle w:val="a3"/>
      </w:pPr>
    </w:p>
    <w:p w:rsidR="00DE5559" w:rsidRPr="000C405E" w:rsidRDefault="00DE5559" w:rsidP="005C1F1E">
      <w:pPr>
        <w:pStyle w:val="a3"/>
        <w:numPr>
          <w:ilvl w:val="0"/>
          <w:numId w:val="2"/>
        </w:numPr>
        <w:rPr>
          <w:b/>
        </w:rPr>
      </w:pPr>
      <w:r w:rsidRPr="000C405E">
        <w:rPr>
          <w:b/>
        </w:rPr>
        <w:t>Общая теория по прерываниям (прерывание, вектор прерывания, таблица вектор</w:t>
      </w:r>
      <w:r w:rsidR="000C405E">
        <w:rPr>
          <w:b/>
        </w:rPr>
        <w:t>ов прерываний, типы прерываний).</w:t>
      </w:r>
    </w:p>
    <w:p w:rsidR="005A01B8" w:rsidRDefault="008400FF" w:rsidP="008400FF">
      <w:pPr>
        <w:pStyle w:val="a3"/>
        <w:ind w:firstLine="696"/>
      </w:pPr>
      <w:r>
        <w:t xml:space="preserve">Различают следующие виды прерываний: </w:t>
      </w:r>
    </w:p>
    <w:p w:rsidR="005A01B8" w:rsidRDefault="008400FF" w:rsidP="008400FF">
      <w:pPr>
        <w:pStyle w:val="a3"/>
        <w:ind w:firstLine="696"/>
      </w:pPr>
      <w:r>
        <w:sym w:font="Symbol" w:char="F02D"/>
      </w:r>
      <w:r>
        <w:t xml:space="preserve"> системные немаскируемые (сигнал RST/NMI в режиме NMI, сигнал от сторожевого таймера, сбой тактового генератора, ошибка доступа </w:t>
      </w:r>
      <w:proofErr w:type="spellStart"/>
      <w:r>
        <w:t>Flashпамяти</w:t>
      </w:r>
      <w:proofErr w:type="spellEnd"/>
      <w:r>
        <w:t xml:space="preserve">); </w:t>
      </w:r>
    </w:p>
    <w:p w:rsidR="005A01B8" w:rsidRDefault="008400FF" w:rsidP="008400FF">
      <w:pPr>
        <w:pStyle w:val="a3"/>
        <w:ind w:firstLine="696"/>
      </w:pPr>
      <w:r>
        <w:sym w:font="Symbol" w:char="F02D"/>
      </w:r>
      <w:r>
        <w:t xml:space="preserve"> пользовательские немаскируемые (сбой напряжения питания от PMM, доступ к несуществующей памяти, события буфера JTAG); </w:t>
      </w:r>
    </w:p>
    <w:p w:rsidR="005C1F1E" w:rsidRDefault="008400FF" w:rsidP="008400FF">
      <w:pPr>
        <w:pStyle w:val="a3"/>
        <w:ind w:firstLine="696"/>
      </w:pPr>
      <w:r>
        <w:sym w:font="Symbol" w:char="F02D"/>
      </w:r>
      <w:r>
        <w:t xml:space="preserve"> маскируемые прерывания (генерируются периферийными модулями).</w:t>
      </w:r>
    </w:p>
    <w:p w:rsidR="00E232CD" w:rsidRDefault="005A01B8" w:rsidP="008400FF">
      <w:pPr>
        <w:pStyle w:val="a3"/>
        <w:ind w:firstLine="696"/>
      </w:pPr>
      <w:r>
        <w:t xml:space="preserve">Микроконтроллер имеет следующую структуру прерываний: </w:t>
      </w:r>
    </w:p>
    <w:p w:rsidR="00E232CD" w:rsidRDefault="005A01B8" w:rsidP="008400FF">
      <w:pPr>
        <w:pStyle w:val="a3"/>
        <w:ind w:firstLine="696"/>
      </w:pPr>
      <w:r>
        <w:sym w:font="Symbol" w:char="F02D"/>
      </w:r>
      <w:r>
        <w:t xml:space="preserve"> векторные прерывания без необходимости опроса; </w:t>
      </w:r>
    </w:p>
    <w:p w:rsidR="005A01B8" w:rsidRDefault="005A01B8" w:rsidP="008400FF">
      <w:pPr>
        <w:pStyle w:val="a3"/>
        <w:ind w:firstLine="696"/>
      </w:pPr>
      <w:r>
        <w:sym w:font="Symbol" w:char="F02D"/>
      </w:r>
      <w:r>
        <w:t xml:space="preserve"> векторы прерываний расположены вниз от адреса 0FFFEh</w:t>
      </w:r>
      <w:r w:rsidRPr="005A01B8">
        <w:t>.</w:t>
      </w:r>
    </w:p>
    <w:p w:rsidR="00E232CD" w:rsidRDefault="00E232CD" w:rsidP="008400FF">
      <w:pPr>
        <w:pStyle w:val="a3"/>
        <w:ind w:firstLine="696"/>
      </w:pPr>
      <w:r>
        <w:t>Для обслуживания прерываний используются подпрограммы обработки прерываний, начальные адреса которых сведены в таблицу векторов прерываний. Таблица векторов прерываний содержат 64 вектора. В каждом векторе должен быть записан 16-битных адрес обработчика прерываний, на который будет передано управление в случае возникновения прерывания.</w:t>
      </w:r>
    </w:p>
    <w:p w:rsidR="00E232CD" w:rsidRDefault="000C405E" w:rsidP="000C405E">
      <w:pPr>
        <w:pStyle w:val="a3"/>
        <w:ind w:firstLine="696"/>
      </w:pPr>
      <w:r>
        <w:t>При одновременном возникновении нескольких прерываний управление передается по вектору, имеющему более высокий приоритет. В MSP микроконтроллерах вектора с большим адресом имеют более высокий приоритет.</w:t>
      </w:r>
    </w:p>
    <w:p w:rsidR="000C405E" w:rsidRDefault="000C405E" w:rsidP="000C405E">
      <w:pPr>
        <w:pStyle w:val="a3"/>
        <w:ind w:firstLine="696"/>
      </w:pPr>
      <w:r>
        <w:t>Кратко рассмотрим, как происходит порядок обработки прерывания. Задержка от возникновения запроса на прерывание до начала выполнения обработчика составляет 6 циклов. При возникновении прерываний выполняются следующие действия:</w:t>
      </w:r>
    </w:p>
    <w:p w:rsidR="000C405E" w:rsidRDefault="000C405E" w:rsidP="000C405E">
      <w:pPr>
        <w:pStyle w:val="a3"/>
        <w:ind w:firstLine="696"/>
      </w:pPr>
      <w:r>
        <w:t xml:space="preserve"> 1. Завершается выполнение текущей инструкции. </w:t>
      </w:r>
    </w:p>
    <w:p w:rsidR="000C405E" w:rsidRDefault="000C405E" w:rsidP="000C405E">
      <w:pPr>
        <w:pStyle w:val="a3"/>
        <w:ind w:firstLine="696"/>
      </w:pPr>
      <w:r>
        <w:t xml:space="preserve">2. Счетчик команд PC, указывающий на следующую инструкцию, сохраняется в стеке; </w:t>
      </w:r>
    </w:p>
    <w:p w:rsidR="000C405E" w:rsidRDefault="000C405E" w:rsidP="000C405E">
      <w:pPr>
        <w:pStyle w:val="a3"/>
        <w:ind w:firstLine="696"/>
      </w:pPr>
      <w:r>
        <w:t xml:space="preserve">3. Регистр состояния SR сохраняется в стеке. </w:t>
      </w:r>
    </w:p>
    <w:p w:rsidR="000C405E" w:rsidRDefault="000C405E" w:rsidP="000C405E">
      <w:pPr>
        <w:pStyle w:val="a3"/>
        <w:ind w:firstLine="696"/>
      </w:pPr>
      <w:r>
        <w:t xml:space="preserve">4. Выбирается прерывание с наивысшим приоритетом. </w:t>
      </w:r>
    </w:p>
    <w:p w:rsidR="000C405E" w:rsidRDefault="000C405E" w:rsidP="000C405E">
      <w:pPr>
        <w:pStyle w:val="a3"/>
        <w:ind w:firstLine="696"/>
      </w:pPr>
      <w:r>
        <w:t xml:space="preserve">5. Сбрасывается флаг запроса на прерывания, если данному вектору соответствует единственному источник. Если источников несколько, флаг завтра на прерывание необходимо сбрасывать </w:t>
      </w:r>
      <w:proofErr w:type="spellStart"/>
      <w:r>
        <w:t>программно</w:t>
      </w:r>
      <w:proofErr w:type="spellEnd"/>
      <w:r>
        <w:t xml:space="preserve">. </w:t>
      </w:r>
    </w:p>
    <w:p w:rsidR="000C405E" w:rsidRDefault="000C405E" w:rsidP="000C405E">
      <w:pPr>
        <w:pStyle w:val="a3"/>
        <w:ind w:firstLine="696"/>
      </w:pPr>
      <w:r>
        <w:t xml:space="preserve">6. Все биты регистра состояния SR кроме SCG0 сбрасываются в 0; т.к. бит GIE = 0 маскируемые прерывания запрещаются. </w:t>
      </w:r>
    </w:p>
    <w:p w:rsidR="00E232CD" w:rsidRDefault="000C405E" w:rsidP="000C405E">
      <w:pPr>
        <w:pStyle w:val="a3"/>
        <w:ind w:firstLine="696"/>
      </w:pPr>
      <w:r>
        <w:t>7. В счетчик команд PC загружается содержимое выбранного вектора прерывания.</w:t>
      </w:r>
    </w:p>
    <w:p w:rsidR="000C405E" w:rsidRPr="005A01B8" w:rsidRDefault="000C405E" w:rsidP="000C405E">
      <w:pPr>
        <w:pStyle w:val="a3"/>
        <w:ind w:firstLine="696"/>
      </w:pPr>
      <w:r>
        <w:t>Возврат из прерывания выполняется командой RETI, которая выполняется за 5 циклов и загружает из стека SR, PC.</w:t>
      </w:r>
    </w:p>
    <w:p w:rsidR="00DE5559" w:rsidRDefault="00DE5559" w:rsidP="005C1F1E">
      <w:pPr>
        <w:pStyle w:val="a3"/>
        <w:numPr>
          <w:ilvl w:val="0"/>
          <w:numId w:val="2"/>
        </w:numPr>
        <w:rPr>
          <w:b/>
        </w:rPr>
      </w:pPr>
      <w:r w:rsidRPr="000C405E">
        <w:rPr>
          <w:b/>
        </w:rPr>
        <w:t>Особенности работы с кнопками и диодами.</w:t>
      </w:r>
    </w:p>
    <w:p w:rsidR="000C405E" w:rsidRPr="00A86CF0" w:rsidRDefault="00CC6BFF" w:rsidP="00A86CF0">
      <w:pPr>
        <w:pStyle w:val="a3"/>
        <w:rPr>
          <w:b/>
        </w:rPr>
      </w:pPr>
      <w:r>
        <w:t xml:space="preserve">Пользователю </w:t>
      </w:r>
      <w:proofErr w:type="spellStart"/>
      <w:r>
        <w:t>программно</w:t>
      </w:r>
      <w:proofErr w:type="spellEnd"/>
      <w:r>
        <w:t xml:space="preserve"> доступны две кнопки S1 и S2,</w:t>
      </w:r>
      <w:r w:rsidRPr="00CC6BFF">
        <w:t xml:space="preserve"> </w:t>
      </w:r>
      <w:r>
        <w:t>P1.7 и P2.2 соответственно.</w:t>
      </w:r>
      <w:r w:rsidR="00A86CF0" w:rsidRPr="00A86CF0">
        <w:t xml:space="preserve"> </w:t>
      </w:r>
      <w:r w:rsidR="00A86CF0">
        <w:t xml:space="preserve">Также </w:t>
      </w:r>
      <w:proofErr w:type="spellStart"/>
      <w:r w:rsidR="00A86CF0">
        <w:t>программно</w:t>
      </w:r>
      <w:proofErr w:type="spellEnd"/>
      <w:r w:rsidR="00A86CF0">
        <w:t xml:space="preserve"> доступны 8 светодиодов, три из которых (LED1 – LED3) размещены рядом с кнопками и подключены соответственно к выводам P1.0, P8.1, P8.2. Еще 5 светодиодов (LED4 – LED8) размещаются в блоке сенсорных кнопок и подключены к выв</w:t>
      </w:r>
      <w:r w:rsidR="00254170">
        <w:t>одам P1.1 – P1.5 соответственно</w:t>
      </w:r>
      <w:r w:rsidR="00A86CF0">
        <w:t>.</w:t>
      </w:r>
    </w:p>
    <w:sectPr w:rsidR="000C405E" w:rsidRPr="00A8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C57DC"/>
    <w:multiLevelType w:val="hybridMultilevel"/>
    <w:tmpl w:val="1B7A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621E2"/>
    <w:multiLevelType w:val="hybridMultilevel"/>
    <w:tmpl w:val="33D6E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B85FC5"/>
    <w:multiLevelType w:val="hybridMultilevel"/>
    <w:tmpl w:val="C1B6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13"/>
    <w:rsid w:val="00000DC2"/>
    <w:rsid w:val="000C405E"/>
    <w:rsid w:val="00254170"/>
    <w:rsid w:val="005A01B8"/>
    <w:rsid w:val="005C1F1E"/>
    <w:rsid w:val="006C6E13"/>
    <w:rsid w:val="006D6FD9"/>
    <w:rsid w:val="008400FF"/>
    <w:rsid w:val="00962472"/>
    <w:rsid w:val="00A86CF0"/>
    <w:rsid w:val="00CC6BFF"/>
    <w:rsid w:val="00D9638D"/>
    <w:rsid w:val="00DE5559"/>
    <w:rsid w:val="00E2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6CCF"/>
  <w15:chartTrackingRefBased/>
  <w15:docId w15:val="{765847C1-26B5-4C88-8FE6-8A2D32AD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Kliutsuk Aliaksandr</dc:creator>
  <cp:keywords/>
  <dc:description/>
  <cp:lastModifiedBy>Kliutsuk Aliaksandr</cp:lastModifiedBy>
  <cp:revision>10</cp:revision>
  <dcterms:created xsi:type="dcterms:W3CDTF">2020-11-23T14:08:00Z</dcterms:created>
  <dcterms:modified xsi:type="dcterms:W3CDTF">2020-11-23T15:07:00Z</dcterms:modified>
</cp:coreProperties>
</file>