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937" w:rsidRDefault="003A7937" w:rsidP="003A7937">
      <w:pPr>
        <w:rPr>
          <w:b/>
        </w:rPr>
      </w:pPr>
      <w:r w:rsidRPr="003A7937">
        <w:rPr>
          <w:b/>
        </w:rPr>
        <w:drawing>
          <wp:inline distT="0" distB="0" distL="0" distR="0" wp14:anchorId="0B236A02" wp14:editId="54E5C7DE">
            <wp:extent cx="5940425" cy="324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37" w:rsidRDefault="003A7937" w:rsidP="003A7937">
      <w:pPr>
        <w:pStyle w:val="a3"/>
        <w:numPr>
          <w:ilvl w:val="0"/>
          <w:numId w:val="2"/>
        </w:numPr>
      </w:pPr>
      <w:r w:rsidRPr="003A7937">
        <w:rPr>
          <w:b/>
        </w:rPr>
        <w:t>Принципы программирования устройств с низким энергопотреблением (и их использование в коде ЛР2)</w:t>
      </w:r>
      <w:r>
        <w:t xml:space="preserve"> </w:t>
      </w:r>
    </w:p>
    <w:p w:rsidR="009D2AFB" w:rsidRDefault="009D2AFB" w:rsidP="009D2AFB">
      <w:pPr>
        <w:pStyle w:val="a3"/>
        <w:ind w:left="1440" w:firstLine="684"/>
      </w:pPr>
      <w:r>
        <w:t xml:space="preserve">Микроконтроллер поддерживает 7 режимов пониженного энергопотребления: LPM0 – LPM4, LPM3.5, LPM4.5. Режимы LPM0 – LPM4 конфигурируются битами CPUOFF, OSCOFF, SCG0, SCG1 регистра состояния микроконтроллера SR: </w:t>
      </w:r>
    </w:p>
    <w:p w:rsidR="009D2AFB" w:rsidRDefault="009D2AFB" w:rsidP="009D2AFB">
      <w:pPr>
        <w:pStyle w:val="a3"/>
        <w:ind w:left="1440" w:firstLine="684"/>
      </w:pPr>
      <w:r>
        <w:t xml:space="preserve">бит 4 – CPUOFF. Установка бита отключает процессор микроконтроллера; </w:t>
      </w:r>
    </w:p>
    <w:p w:rsidR="009D2AFB" w:rsidRDefault="009D2AFB" w:rsidP="009D2AFB">
      <w:pPr>
        <w:pStyle w:val="a3"/>
        <w:ind w:left="1440" w:firstLine="684"/>
      </w:pPr>
      <w:r>
        <w:t>бит 5 – OSCOFF. Установка бита отключает генератор частот, если только он не используется для формирования тактовой частоты MCLK или SMCLK;</w:t>
      </w:r>
    </w:p>
    <w:p w:rsidR="009D2AFB" w:rsidRDefault="009D2AFB" w:rsidP="009D2AFB">
      <w:pPr>
        <w:pStyle w:val="a3"/>
        <w:ind w:left="1440" w:firstLine="684"/>
      </w:pPr>
      <w:r>
        <w:t xml:space="preserve"> биты 6, 7 – SCG0, SCG1 — отключение системного тактового генератора 0 (1), какого именно, зависит от серии устройства, </w:t>
      </w:r>
      <w:proofErr w:type="gramStart"/>
      <w:r>
        <w:t>например</w:t>
      </w:r>
      <w:proofErr w:type="gramEnd"/>
      <w:r>
        <w:t xml:space="preserve"> FLL или DCO.</w:t>
      </w:r>
    </w:p>
    <w:p w:rsidR="009D2AFB" w:rsidRDefault="009D2AFB" w:rsidP="009D2AFB">
      <w:pPr>
        <w:pStyle w:val="a3"/>
        <w:ind w:left="1440" w:firstLine="684"/>
      </w:pPr>
    </w:p>
    <w:p w:rsidR="003A7937" w:rsidRDefault="003A7937" w:rsidP="003A7937">
      <w:pPr>
        <w:pStyle w:val="a3"/>
        <w:numPr>
          <w:ilvl w:val="0"/>
          <w:numId w:val="3"/>
        </w:numPr>
      </w:pPr>
      <w:r>
        <w:t xml:space="preserve">Максимально длительное время нахождения в режимах пониженного энергопотребления </w:t>
      </w:r>
    </w:p>
    <w:p w:rsidR="003A7937" w:rsidRDefault="003A7937" w:rsidP="003A7937">
      <w:pPr>
        <w:pStyle w:val="a3"/>
        <w:numPr>
          <w:ilvl w:val="0"/>
          <w:numId w:val="3"/>
        </w:numPr>
      </w:pPr>
      <w:r>
        <w:t xml:space="preserve">Использование прерываний для управления ходом выполнения программ и «пробуждения» контроллера </w:t>
      </w:r>
    </w:p>
    <w:p w:rsidR="003A7937" w:rsidRDefault="003A7937" w:rsidP="003A7937">
      <w:pPr>
        <w:pStyle w:val="a3"/>
        <w:numPr>
          <w:ilvl w:val="0"/>
          <w:numId w:val="3"/>
        </w:numPr>
      </w:pPr>
      <w:r>
        <w:t xml:space="preserve">Включение периферии только по мере необходимости </w:t>
      </w:r>
    </w:p>
    <w:p w:rsidR="003A7937" w:rsidRDefault="003A7937" w:rsidP="003A7937">
      <w:pPr>
        <w:pStyle w:val="a3"/>
        <w:numPr>
          <w:ilvl w:val="0"/>
          <w:numId w:val="3"/>
        </w:numPr>
      </w:pPr>
      <w:r>
        <w:t xml:space="preserve">Использование вместо </w:t>
      </w:r>
      <w:proofErr w:type="spellStart"/>
      <w:r>
        <w:t>программно</w:t>
      </w:r>
      <w:proofErr w:type="spellEnd"/>
      <w:r>
        <w:t xml:space="preserve"> реализуемых функций встроенные периферийные модули с низким энергопотреблением </w:t>
      </w:r>
    </w:p>
    <w:p w:rsidR="003A7937" w:rsidRDefault="003A7937" w:rsidP="003A7937">
      <w:pPr>
        <w:pStyle w:val="a3"/>
        <w:numPr>
          <w:ilvl w:val="0"/>
          <w:numId w:val="3"/>
        </w:numPr>
      </w:pPr>
      <w:r>
        <w:t xml:space="preserve">Использование вычисляемых переходов и быстрых табличных вычислений вместо опроса флагов и длительных программных вычислений </w:t>
      </w:r>
    </w:p>
    <w:p w:rsidR="003A7937" w:rsidRDefault="003A7937" w:rsidP="003A7937">
      <w:pPr>
        <w:pStyle w:val="a3"/>
        <w:numPr>
          <w:ilvl w:val="0"/>
          <w:numId w:val="3"/>
        </w:numPr>
      </w:pPr>
      <w:r>
        <w:t xml:space="preserve">Избегать частых вызовов подпрограмм, чтобы снизить накладные расходы </w:t>
      </w:r>
    </w:p>
    <w:p w:rsidR="003A7937" w:rsidRDefault="003A7937" w:rsidP="003A7937">
      <w:pPr>
        <w:pStyle w:val="a3"/>
        <w:numPr>
          <w:ilvl w:val="0"/>
          <w:numId w:val="3"/>
        </w:numPr>
      </w:pPr>
      <w:r>
        <w:t>Использовать однотактные регистры ЦПУ в длинных процедурах</w:t>
      </w:r>
    </w:p>
    <w:p w:rsidR="003A7937" w:rsidRDefault="003A7937" w:rsidP="003A7937">
      <w:pPr>
        <w:pStyle w:val="a3"/>
        <w:numPr>
          <w:ilvl w:val="0"/>
          <w:numId w:val="3"/>
        </w:numPr>
      </w:pPr>
      <w:r>
        <w:t xml:space="preserve"> Отключать неиспользуемые сегменты памяти</w:t>
      </w:r>
    </w:p>
    <w:p w:rsidR="003A7937" w:rsidRDefault="003A7937" w:rsidP="003A7937">
      <w:pPr>
        <w:pStyle w:val="a3"/>
        <w:ind w:left="1440"/>
      </w:pPr>
    </w:p>
    <w:p w:rsidR="003A7937" w:rsidRPr="003A7937" w:rsidRDefault="003A7937" w:rsidP="003A7937">
      <w:pPr>
        <w:pStyle w:val="a3"/>
        <w:numPr>
          <w:ilvl w:val="0"/>
          <w:numId w:val="2"/>
        </w:numPr>
        <w:rPr>
          <w:b/>
        </w:rPr>
      </w:pPr>
      <w:r w:rsidRPr="003A7937">
        <w:rPr>
          <w:b/>
        </w:rPr>
        <w:t xml:space="preserve">Тактирование (внутренние генераторы и кварцевые резонаторы и условия их работы, работа управляемого цифрового генератора и блока автоподстройки частоты, синхросигналы и их назначение) </w:t>
      </w:r>
    </w:p>
    <w:p w:rsidR="000455FD" w:rsidRDefault="000455FD" w:rsidP="00A23238">
      <w:pPr>
        <w:pStyle w:val="a3"/>
        <w:ind w:firstLine="696"/>
      </w:pPr>
    </w:p>
    <w:p w:rsidR="003D050E" w:rsidRDefault="003D050E" w:rsidP="00A23238">
      <w:pPr>
        <w:pStyle w:val="a3"/>
        <w:ind w:firstLine="696"/>
      </w:pPr>
      <w:r>
        <w:t xml:space="preserve">В микроконтроллере MSP430F5529 имеются следующие источники синхросигналов: </w:t>
      </w:r>
    </w:p>
    <w:p w:rsidR="003D050E" w:rsidRDefault="003D050E" w:rsidP="00A23238">
      <w:pPr>
        <w:pStyle w:val="a3"/>
        <w:ind w:firstLine="696"/>
      </w:pPr>
      <w:r>
        <w:sym w:font="Symbol" w:char="F02D"/>
      </w:r>
      <w:r>
        <w:t xml:space="preserve"> внутренний генератор низкой частоты со сверхмалым потреблением (VLO), около 9,4 КГц; </w:t>
      </w:r>
    </w:p>
    <w:p w:rsidR="003D050E" w:rsidRDefault="003D050E" w:rsidP="00A23238">
      <w:pPr>
        <w:pStyle w:val="a3"/>
        <w:ind w:firstLine="696"/>
      </w:pPr>
      <w:r>
        <w:sym w:font="Symbol" w:char="F02D"/>
      </w:r>
      <w:r>
        <w:t xml:space="preserve"> внутренний низкочастотный генератор (REFO), 32 Кгц; </w:t>
      </w:r>
    </w:p>
    <w:p w:rsidR="003D050E" w:rsidRDefault="003D050E" w:rsidP="00A23238">
      <w:pPr>
        <w:pStyle w:val="a3"/>
        <w:ind w:firstLine="696"/>
      </w:pPr>
      <w:r>
        <w:sym w:font="Symbol" w:char="F02D"/>
      </w:r>
      <w:r>
        <w:t xml:space="preserve"> 32 КГц кварцевый генератор (XT1 LF); </w:t>
      </w:r>
    </w:p>
    <w:p w:rsidR="003D050E" w:rsidRDefault="003D050E" w:rsidP="00A23238">
      <w:pPr>
        <w:pStyle w:val="a3"/>
        <w:ind w:firstLine="696"/>
      </w:pPr>
      <w:r>
        <w:sym w:font="Symbol" w:char="F02D"/>
      </w:r>
      <w:r>
        <w:t xml:space="preserve"> интегрированный внутренний цифровой управляемый генератор (DCO), стабилизируется с помощью цифровой автоподстройки частоты (FLL –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); </w:t>
      </w:r>
    </w:p>
    <w:p w:rsidR="003D050E" w:rsidRDefault="003D050E" w:rsidP="00A23238">
      <w:pPr>
        <w:pStyle w:val="a3"/>
        <w:ind w:firstLine="696"/>
      </w:pPr>
      <w:r>
        <w:sym w:font="Symbol" w:char="F02D"/>
      </w:r>
      <w:r>
        <w:t xml:space="preserve"> высокочастотный кварцевый генератор (XT2) 4 – 32 МГц. На плате используется резонатор 4 МГц. </w:t>
      </w:r>
    </w:p>
    <w:p w:rsidR="003D050E" w:rsidRDefault="003D050E" w:rsidP="00A23238">
      <w:pPr>
        <w:pStyle w:val="a3"/>
        <w:ind w:firstLine="696"/>
      </w:pPr>
      <w:r>
        <w:t xml:space="preserve">Три синхросигнала выбираются из этих источников: </w:t>
      </w:r>
    </w:p>
    <w:p w:rsidR="003D050E" w:rsidRDefault="003D050E" w:rsidP="00A23238">
      <w:pPr>
        <w:pStyle w:val="a3"/>
        <w:ind w:firstLine="696"/>
      </w:pPr>
      <w:r>
        <w:sym w:font="Symbol" w:char="F02D"/>
      </w:r>
      <w:r>
        <w:t xml:space="preserve"> вспомогательная тактовая частота (ACLK); </w:t>
      </w:r>
    </w:p>
    <w:p w:rsidR="003D050E" w:rsidRDefault="003D050E" w:rsidP="00A23238">
      <w:pPr>
        <w:pStyle w:val="a3"/>
        <w:ind w:firstLine="696"/>
      </w:pPr>
      <w:r>
        <w:sym w:font="Symbol" w:char="F02D"/>
      </w:r>
      <w:r>
        <w:t xml:space="preserve"> главная частота (MCLK), используется для тактирования процессора; </w:t>
      </w:r>
    </w:p>
    <w:p w:rsidR="003D050E" w:rsidRDefault="003D050E" w:rsidP="00A23238">
      <w:pPr>
        <w:pStyle w:val="a3"/>
        <w:ind w:firstLine="696"/>
      </w:pPr>
      <w:r>
        <w:sym w:font="Symbol" w:char="F02D"/>
      </w:r>
      <w:r>
        <w:t xml:space="preserve"> SMCLK (</w:t>
      </w:r>
      <w:proofErr w:type="spellStart"/>
      <w:r>
        <w:t>Sub-Main</w:t>
      </w:r>
      <w:proofErr w:type="spellEnd"/>
      <w:r>
        <w:t xml:space="preserve">), используется для тактирования периферии; </w:t>
      </w:r>
    </w:p>
    <w:p w:rsidR="00112CC5" w:rsidRDefault="003D050E" w:rsidP="00112CC5">
      <w:pPr>
        <w:pStyle w:val="a3"/>
        <w:ind w:firstLine="696"/>
      </w:pPr>
      <w:r>
        <w:sym w:font="Symbol" w:char="F02D"/>
      </w:r>
      <w:r>
        <w:t xml:space="preserve"> буферный выход частоты ACLK/n (n = 1, 2, 4, 8, 16, 32).</w:t>
      </w:r>
      <w:r w:rsidR="00112CC5" w:rsidRPr="00112CC5">
        <w:t xml:space="preserve"> </w:t>
      </w:r>
    </w:p>
    <w:p w:rsidR="005A4D57" w:rsidRDefault="005A4D57" w:rsidP="00112CC5">
      <w:pPr>
        <w:pStyle w:val="a3"/>
        <w:ind w:firstLine="696"/>
        <w:rPr>
          <w:lang w:val="en-US"/>
        </w:rPr>
      </w:pPr>
      <w:r>
        <w:t>При переключении MCLK или CLK с одного источника на другой, момент переключения синхронизируется для избегания возникновения гонок</w:t>
      </w:r>
      <w:r>
        <w:t>.</w:t>
      </w:r>
    </w:p>
    <w:p w:rsidR="005A4D57" w:rsidRPr="005A4D57" w:rsidRDefault="005A4D57" w:rsidP="00112CC5">
      <w:pPr>
        <w:pStyle w:val="a3"/>
        <w:ind w:firstLine="696"/>
        <w:rPr>
          <w:lang w:val="en-US"/>
        </w:rPr>
      </w:pPr>
      <w:bookmarkStart w:id="0" w:name="_GoBack"/>
      <w:r w:rsidRPr="005A4D57">
        <w:rPr>
          <w:lang w:val="en-US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57</wp:posOffset>
            </wp:positionV>
            <wp:extent cx="5940425" cy="1196975"/>
            <wp:effectExtent l="0" t="0" r="3175" b="3175"/>
            <wp:wrapTight wrapText="bothSides">
              <wp:wrapPolygon edited="0">
                <wp:start x="0" y="0"/>
                <wp:lineTo x="0" y="21314"/>
                <wp:lineTo x="21542" y="21314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112CC5" w:rsidRDefault="00112CC5" w:rsidP="00112CC5">
      <w:pPr>
        <w:pStyle w:val="a3"/>
        <w:ind w:firstLine="696"/>
      </w:pPr>
      <w:r>
        <w:t xml:space="preserve">Для управления блоком частот используются регистры UCSCTL0 – UCSCTL8 (адреса соответственно 0160h, 0162h, </w:t>
      </w:r>
      <w:proofErr w:type="gramStart"/>
      <w:r>
        <w:t>… ,</w:t>
      </w:r>
      <w:proofErr w:type="gramEnd"/>
      <w:r>
        <w:t xml:space="preserve"> 0170h).</w:t>
      </w:r>
      <w:r w:rsidRPr="001E5091">
        <w:t xml:space="preserve"> </w:t>
      </w:r>
    </w:p>
    <w:p w:rsidR="001E5091" w:rsidRDefault="001E5091" w:rsidP="00A23238">
      <w:pPr>
        <w:pStyle w:val="a3"/>
        <w:ind w:firstLine="696"/>
      </w:pPr>
    </w:p>
    <w:p w:rsidR="003A7937" w:rsidRDefault="003D050E" w:rsidP="00A23238">
      <w:pPr>
        <w:pStyle w:val="a3"/>
        <w:ind w:firstLine="696"/>
      </w:pPr>
      <w:r w:rsidRPr="003A7937">
        <w:drawing>
          <wp:inline distT="0" distB="0" distL="0" distR="0" wp14:anchorId="13919898" wp14:editId="5397CCC5">
            <wp:extent cx="3048425" cy="6287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937" w:rsidRPr="003A7937"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181</wp:posOffset>
            </wp:positionV>
            <wp:extent cx="5821892" cy="4326890"/>
            <wp:effectExtent l="0" t="0" r="7620" b="0"/>
            <wp:wrapTight wrapText="bothSides">
              <wp:wrapPolygon edited="0">
                <wp:start x="0" y="0"/>
                <wp:lineTo x="0" y="21492"/>
                <wp:lineTo x="21558" y="21492"/>
                <wp:lineTo x="2155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5"/>
                    <a:stretch/>
                  </pic:blipFill>
                  <pic:spPr bwMode="auto">
                    <a:xfrm>
                      <a:off x="0" y="0"/>
                      <a:ext cx="5821892" cy="432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7937" w:rsidRDefault="003A7937" w:rsidP="003A7937">
      <w:pPr>
        <w:pStyle w:val="a3"/>
      </w:pPr>
    </w:p>
    <w:p w:rsidR="00657C1C" w:rsidRPr="003A7937" w:rsidRDefault="003A7937" w:rsidP="003A7937">
      <w:pPr>
        <w:pStyle w:val="a3"/>
        <w:numPr>
          <w:ilvl w:val="0"/>
          <w:numId w:val="2"/>
        </w:numPr>
        <w:rPr>
          <w:b/>
        </w:rPr>
      </w:pPr>
      <w:r w:rsidRPr="003A7937">
        <w:rPr>
          <w:b/>
        </w:rPr>
        <w:t>Режимы пониженного энергопотребления (характеристика режимов, условия входа/выхода)</w:t>
      </w:r>
    </w:p>
    <w:p w:rsidR="00311BFB" w:rsidRDefault="00311BFB" w:rsidP="00311BFB">
      <w:pPr>
        <w:pStyle w:val="a3"/>
        <w:ind w:firstLine="696"/>
      </w:pPr>
      <w:r>
        <w:t>Уровень питания определяется битами PMMCOREV</w:t>
      </w:r>
      <w:r>
        <w:t>.</w:t>
      </w:r>
    </w:p>
    <w:p w:rsidR="00311BFB" w:rsidRDefault="00311BFB" w:rsidP="00311BFB">
      <w:pPr>
        <w:pStyle w:val="a3"/>
        <w:ind w:firstLine="696"/>
      </w:pPr>
      <w:r>
        <w:t>SVS относится к супервизору, SVM – к монитору, H – контроль сигнала на высокой стороне (на входе), L – контроль сигнала на низкой стороне (на выходе). Супервизор имеет петлю гистерезиса: при пороге SVSIT- устанавливается соответствующий флаг прерывания и генерируется сигнал сброса, а при пороге SVSIT+ этот режим 4 заканчивается, причем второй порог выше первого. Порог для монитора один, при напряжении питания меньше порогового устанавливается соответствующий флаг.</w:t>
      </w:r>
    </w:p>
    <w:p w:rsidR="00311BFB" w:rsidRDefault="00311BFB" w:rsidP="00311BFB">
      <w:pPr>
        <w:pStyle w:val="a3"/>
        <w:ind w:firstLine="696"/>
      </w:pPr>
      <w:r>
        <w:lastRenderedPageBreak/>
        <w:t>Типовые уровни напряжения порога SVSH_IT- равны 1,68; 1,88; 2,08; 2,18 В (для значений от 00 до 11 поля SVSHRVL) и порога SVSH_IT+ 1,74; 1,94; 2,14; 2,30; 2,40; 2,70; 3,10; 3,10 В (для значений от 000 до 111 поля SVSMHRRL).</w:t>
      </w:r>
    </w:p>
    <w:p w:rsidR="00311BFB" w:rsidRDefault="00311BFB" w:rsidP="00311BFB">
      <w:pPr>
        <w:pStyle w:val="a3"/>
        <w:ind w:firstLine="696"/>
      </w:pPr>
    </w:p>
    <w:p w:rsidR="00311BFB" w:rsidRDefault="00311BFB" w:rsidP="00311BFB">
      <w:pPr>
        <w:pStyle w:val="a3"/>
        <w:ind w:firstLine="696"/>
      </w:pPr>
      <w:r>
        <w:t>При увеличении уровня напряжения необходимо выполнить следующ</w:t>
      </w:r>
      <w:r>
        <w:t xml:space="preserve">ую последовательность действий </w:t>
      </w:r>
    </w:p>
    <w:p w:rsidR="00311BFB" w:rsidRDefault="00311BFB" w:rsidP="00311BFB">
      <w:pPr>
        <w:pStyle w:val="a3"/>
        <w:ind w:firstLine="696"/>
      </w:pPr>
      <w:r>
        <w:t xml:space="preserve">1. Устанавливаются новые уровни SVMH, SVSH, чтобы убедиться, что входное напряжение DVCC выше планируемого </w:t>
      </w:r>
      <w:proofErr w:type="spellStart"/>
      <w:r>
        <w:t>Vcore</w:t>
      </w:r>
      <w:proofErr w:type="spellEnd"/>
      <w:r>
        <w:t xml:space="preserve">. Установить новый уровень SVML, дождаться установки флага SVSMLDLYIFG. </w:t>
      </w:r>
    </w:p>
    <w:p w:rsidR="00311BFB" w:rsidRDefault="00311BFB" w:rsidP="00311BFB">
      <w:pPr>
        <w:pStyle w:val="a3"/>
        <w:ind w:firstLine="696"/>
      </w:pPr>
      <w:r>
        <w:t xml:space="preserve">2. Установить PMMCOREV для определения нового уровня </w:t>
      </w:r>
      <w:proofErr w:type="spellStart"/>
      <w:r>
        <w:t>Vcore</w:t>
      </w:r>
      <w:proofErr w:type="spellEnd"/>
      <w:r>
        <w:t xml:space="preserve">. </w:t>
      </w:r>
    </w:p>
    <w:p w:rsidR="00311BFB" w:rsidRDefault="00311BFB" w:rsidP="00311BFB">
      <w:pPr>
        <w:pStyle w:val="a3"/>
        <w:ind w:firstLine="696"/>
      </w:pPr>
      <w:r>
        <w:t xml:space="preserve">3. Дождаться установки флага SVMLVLRIFG. </w:t>
      </w:r>
    </w:p>
    <w:p w:rsidR="00311BFB" w:rsidRDefault="00311BFB" w:rsidP="00311BFB">
      <w:pPr>
        <w:pStyle w:val="a3"/>
        <w:ind w:firstLine="696"/>
      </w:pPr>
      <w:r>
        <w:t xml:space="preserve">4. Установить новый уровень SVSL. При снижении уровня напряжения необходимо выполнить следующее: </w:t>
      </w:r>
    </w:p>
    <w:p w:rsidR="00311BFB" w:rsidRDefault="00311BFB" w:rsidP="00311BFB">
      <w:pPr>
        <w:pStyle w:val="a3"/>
        <w:ind w:firstLine="696"/>
      </w:pPr>
      <w:r>
        <w:t xml:space="preserve">5. Устанавливаются SVML, SVSL для нового уровня и ожидается установка флага SVSMLDLYIFG. </w:t>
      </w:r>
    </w:p>
    <w:p w:rsidR="003A7937" w:rsidRDefault="00311BFB" w:rsidP="00311BFB">
      <w:pPr>
        <w:pStyle w:val="a3"/>
        <w:ind w:firstLine="696"/>
      </w:pPr>
      <w:r>
        <w:t xml:space="preserve">6. Программируем новый уровень </w:t>
      </w:r>
      <w:proofErr w:type="spellStart"/>
      <w:r>
        <w:t>Vcore</w:t>
      </w:r>
      <w:proofErr w:type="spellEnd"/>
      <w:r>
        <w:t>, задав PMMCOREV.</w:t>
      </w:r>
    </w:p>
    <w:p w:rsidR="00501A92" w:rsidRDefault="00501A92" w:rsidP="00311BFB">
      <w:pPr>
        <w:pStyle w:val="a3"/>
        <w:ind w:firstLine="696"/>
      </w:pPr>
    </w:p>
    <w:p w:rsidR="00501A92" w:rsidRDefault="00501A92" w:rsidP="00311BFB">
      <w:pPr>
        <w:pStyle w:val="a3"/>
        <w:ind w:firstLine="696"/>
      </w:pPr>
      <w:r>
        <w:t>Для управления подсистемой питания используются регистры: PMMCTL0 (0120h) - управление PMM; PMMCTL1 (0122h) - управление PMM; SVSMHCTL (0124h) - управление SVS, SVM на входе; SVSMLCTL (0126h) - управление SVS, SVM на выходе; PMMIFG (012Ch) - флаги прерываний; PMMIE (012Eh) - разрешение прерываний; PM5CTL0 (0130h) - управление режимом LPMx.5.</w:t>
      </w:r>
    </w:p>
    <w:p w:rsidR="00A23238" w:rsidRDefault="00A23238" w:rsidP="00311BFB">
      <w:pPr>
        <w:pStyle w:val="a3"/>
        <w:ind w:firstLine="696"/>
      </w:pPr>
    </w:p>
    <w:p w:rsidR="00A23238" w:rsidRPr="00501A92" w:rsidRDefault="00A23238" w:rsidP="00311BFB">
      <w:pPr>
        <w:pStyle w:val="a3"/>
        <w:ind w:firstLine="696"/>
      </w:pPr>
    </w:p>
    <w:p w:rsidR="003A7937" w:rsidRDefault="003A7937"/>
    <w:p w:rsidR="003A7937" w:rsidRDefault="003A7937"/>
    <w:sectPr w:rsidR="003A7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E4D08"/>
    <w:multiLevelType w:val="hybridMultilevel"/>
    <w:tmpl w:val="C33C8D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F14745"/>
    <w:multiLevelType w:val="hybridMultilevel"/>
    <w:tmpl w:val="69066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E0644"/>
    <w:multiLevelType w:val="hybridMultilevel"/>
    <w:tmpl w:val="2078F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E5F"/>
    <w:rsid w:val="000455FD"/>
    <w:rsid w:val="00112CC5"/>
    <w:rsid w:val="001E5091"/>
    <w:rsid w:val="00221E5F"/>
    <w:rsid w:val="00311BFB"/>
    <w:rsid w:val="003A7937"/>
    <w:rsid w:val="003D050E"/>
    <w:rsid w:val="00501A92"/>
    <w:rsid w:val="005A4D57"/>
    <w:rsid w:val="00657C1C"/>
    <w:rsid w:val="009D2AFB"/>
    <w:rsid w:val="00A2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E3FAF"/>
  <w15:chartTrackingRefBased/>
  <w15:docId w15:val="{60518F15-A2EE-45B2-A106-A327BF5F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Kliutsuk Aliaksandr</dc:creator>
  <cp:keywords/>
  <dc:description/>
  <cp:lastModifiedBy>Kliutsuk Aliaksandr</cp:lastModifiedBy>
  <cp:revision>9</cp:revision>
  <dcterms:created xsi:type="dcterms:W3CDTF">2020-11-23T15:07:00Z</dcterms:created>
  <dcterms:modified xsi:type="dcterms:W3CDTF">2020-11-23T16:02:00Z</dcterms:modified>
</cp:coreProperties>
</file>