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23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72"/>
        <w:gridCol w:w="4951"/>
      </w:tblGrid>
      <w:tr w:rsidR="00D5649F" w14:paraId="6A095D17" w14:textId="77777777" w:rsidTr="00CD62C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60" w:type="dxa"/>
              <w:left w:w="200" w:type="dxa"/>
              <w:bottom w:w="160" w:type="dxa"/>
              <w:right w:w="120" w:type="dxa"/>
            </w:tcMar>
          </w:tcPr>
          <w:p w14:paraId="6A095D12" w14:textId="4E741DDB" w:rsidR="00D5649F" w:rsidRPr="0029624F" w:rsidRDefault="00710A25">
            <w:pPr>
              <w:rPr>
                <w:lang w:val="en-GB"/>
              </w:rPr>
            </w:pPr>
            <w:r>
              <w:rPr>
                <w:b/>
                <w:bCs/>
                <w:color w:val="FFFFFF"/>
                <w:sz w:val="44"/>
                <w:szCs w:val="44"/>
              </w:rPr>
              <w:t>EA</w:t>
            </w:r>
            <w:r w:rsidR="0029624F">
              <w:rPr>
                <w:b/>
                <w:bCs/>
                <w:color w:val="FFFFFF"/>
                <w:sz w:val="44"/>
                <w:szCs w:val="44"/>
                <w:lang w:val="en-GB"/>
              </w:rPr>
              <w:t>AP</w:t>
            </w:r>
          </w:p>
          <w:p w14:paraId="6A095D13" w14:textId="77777777" w:rsidR="00D5649F" w:rsidRDefault="00710A25">
            <w:r>
              <w:rPr>
                <w:color w:val="8BBFBF"/>
                <w:sz w:val="18"/>
                <w:szCs w:val="18"/>
              </w:rPr>
              <w:t>Enterprise AI Architecture Pattern</w:t>
            </w:r>
          </w:p>
        </w:tc>
        <w:tc>
          <w:tcPr>
            <w:tcW w:w="49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6B6B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6A095D14" w14:textId="77777777" w:rsidR="00D5649F" w:rsidRDefault="00710A25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EAAP-ARCH-004</w:t>
            </w:r>
          </w:p>
          <w:p w14:paraId="6A095D15" w14:textId="77777777" w:rsidR="00D5649F" w:rsidRDefault="00710A25">
            <w:pPr>
              <w:jc w:val="right"/>
            </w:pPr>
            <w:r>
              <w:rPr>
                <w:color w:val="D0ECEC"/>
                <w:sz w:val="17"/>
                <w:szCs w:val="17"/>
              </w:rPr>
              <w:t>Functional Architecture Model</w:t>
            </w:r>
          </w:p>
          <w:p w14:paraId="6A095D16" w14:textId="77777777" w:rsidR="00D5649F" w:rsidRDefault="00710A25">
            <w:pPr>
              <w:jc w:val="right"/>
            </w:pPr>
            <w:r>
              <w:rPr>
                <w:color w:val="A0D4D4"/>
                <w:sz w:val="15"/>
                <w:szCs w:val="15"/>
              </w:rPr>
              <w:t>Version v1.0  |  Release</w:t>
            </w:r>
          </w:p>
        </w:tc>
      </w:tr>
    </w:tbl>
    <w:p w14:paraId="6A095D18" w14:textId="77777777" w:rsidR="00D5649F" w:rsidRDefault="00D5649F">
      <w:pPr>
        <w:spacing w:before="120"/>
      </w:pPr>
    </w:p>
    <w:p w14:paraId="6A095D19" w14:textId="77777777" w:rsidR="00D5649F" w:rsidRDefault="00710A25" w:rsidP="00CD62CE">
      <w:pPr>
        <w:shd w:val="clear" w:color="auto" w:fill="1B2A4A"/>
        <w:spacing w:before="300"/>
      </w:pPr>
      <w:r>
        <w:rPr>
          <w:b/>
          <w:bCs/>
          <w:color w:val="FFFFFF"/>
          <w:sz w:val="22"/>
          <w:szCs w:val="22"/>
        </w:rPr>
        <w:t>DOCUMENT CONTROL</w:t>
      </w:r>
    </w:p>
    <w:p w14:paraId="6A095D1A" w14:textId="77777777" w:rsidR="00D5649F" w:rsidRDefault="00D5649F">
      <w:pPr>
        <w:spacing w:before="80"/>
      </w:pP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122"/>
      </w:tblGrid>
      <w:tr w:rsidR="00D5649F" w14:paraId="6A095D1D" w14:textId="77777777" w:rsidTr="00CD62CE"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095D1B" w14:textId="77777777" w:rsidR="00D5649F" w:rsidRDefault="00710A25">
            <w:r>
              <w:rPr>
                <w:b/>
                <w:bCs/>
                <w:color w:val="1B2A4A"/>
                <w:sz w:val="18"/>
                <w:szCs w:val="18"/>
              </w:rPr>
              <w:t>Document ID</w:t>
            </w:r>
          </w:p>
        </w:tc>
        <w:tc>
          <w:tcPr>
            <w:tcW w:w="71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095D1C" w14:textId="77777777" w:rsidR="00D5649F" w:rsidRDefault="00710A25">
            <w:r>
              <w:rPr>
                <w:sz w:val="18"/>
                <w:szCs w:val="18"/>
              </w:rPr>
              <w:t>EAAP-ARCH-004</w:t>
            </w:r>
          </w:p>
        </w:tc>
      </w:tr>
      <w:tr w:rsidR="00D5649F" w14:paraId="6A095D20" w14:textId="77777777" w:rsidTr="00CD62CE"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095D1E" w14:textId="77777777" w:rsidR="00D5649F" w:rsidRDefault="00710A25">
            <w:r>
              <w:rPr>
                <w:b/>
                <w:bCs/>
                <w:color w:val="1B2A4A"/>
                <w:sz w:val="18"/>
                <w:szCs w:val="18"/>
              </w:rPr>
              <w:t>Title</w:t>
            </w:r>
          </w:p>
        </w:tc>
        <w:tc>
          <w:tcPr>
            <w:tcW w:w="71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095D1F" w14:textId="77777777" w:rsidR="00D5649F" w:rsidRDefault="00710A25">
            <w:r>
              <w:rPr>
                <w:sz w:val="18"/>
                <w:szCs w:val="18"/>
              </w:rPr>
              <w:t>Functional Architecture Model</w:t>
            </w:r>
          </w:p>
        </w:tc>
      </w:tr>
      <w:tr w:rsidR="00D5649F" w14:paraId="6A095D23" w14:textId="77777777" w:rsidTr="00CD62CE"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095D21" w14:textId="77777777" w:rsidR="00D5649F" w:rsidRDefault="00710A25">
            <w:r>
              <w:rPr>
                <w:b/>
                <w:bCs/>
                <w:color w:val="1B2A4A"/>
                <w:sz w:val="18"/>
                <w:szCs w:val="18"/>
              </w:rPr>
              <w:t>Version</w:t>
            </w:r>
          </w:p>
        </w:tc>
        <w:tc>
          <w:tcPr>
            <w:tcW w:w="71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095D22" w14:textId="77777777" w:rsidR="00D5649F" w:rsidRDefault="00710A25">
            <w:r>
              <w:rPr>
                <w:sz w:val="18"/>
                <w:szCs w:val="18"/>
              </w:rPr>
              <w:t>v1.0</w:t>
            </w:r>
          </w:p>
        </w:tc>
      </w:tr>
      <w:tr w:rsidR="00D5649F" w14:paraId="6A095D26" w14:textId="77777777" w:rsidTr="00CD62CE"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095D24" w14:textId="77777777" w:rsidR="00D5649F" w:rsidRDefault="00710A25">
            <w:r>
              <w:rPr>
                <w:b/>
                <w:bCs/>
                <w:color w:val="1B2A4A"/>
                <w:sz w:val="18"/>
                <w:szCs w:val="18"/>
              </w:rPr>
              <w:t>Status</w:t>
            </w:r>
          </w:p>
        </w:tc>
        <w:tc>
          <w:tcPr>
            <w:tcW w:w="71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095D25" w14:textId="77777777" w:rsidR="00D5649F" w:rsidRDefault="00710A25">
            <w:r>
              <w:rPr>
                <w:sz w:val="18"/>
                <w:szCs w:val="18"/>
              </w:rPr>
              <w:t>Release</w:t>
            </w:r>
          </w:p>
        </w:tc>
      </w:tr>
      <w:tr w:rsidR="00D5649F" w14:paraId="6A095D29" w14:textId="77777777" w:rsidTr="00CD62CE"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095D27" w14:textId="77777777" w:rsidR="00D5649F" w:rsidRDefault="00710A25">
            <w:r>
              <w:rPr>
                <w:b/>
                <w:bCs/>
                <w:color w:val="1B2A4A"/>
                <w:sz w:val="18"/>
                <w:szCs w:val="18"/>
              </w:rPr>
              <w:t>Classification</w:t>
            </w:r>
          </w:p>
        </w:tc>
        <w:tc>
          <w:tcPr>
            <w:tcW w:w="71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095D28" w14:textId="77777777" w:rsidR="00D5649F" w:rsidRDefault="00710A25">
            <w:r>
              <w:rPr>
                <w:sz w:val="18"/>
                <w:szCs w:val="18"/>
              </w:rPr>
              <w:t>Internal / Controlled</w:t>
            </w:r>
          </w:p>
        </w:tc>
      </w:tr>
      <w:tr w:rsidR="00D5649F" w14:paraId="6A095D2C" w14:textId="77777777" w:rsidTr="00CD62CE"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095D2A" w14:textId="77777777" w:rsidR="00D5649F" w:rsidRDefault="00710A25">
            <w:r>
              <w:rPr>
                <w:b/>
                <w:bCs/>
                <w:color w:val="1B2A4A"/>
                <w:sz w:val="18"/>
                <w:szCs w:val="18"/>
              </w:rPr>
              <w:t>Parent</w:t>
            </w:r>
          </w:p>
        </w:tc>
        <w:tc>
          <w:tcPr>
            <w:tcW w:w="71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095D2B" w14:textId="77777777" w:rsidR="00D5649F" w:rsidRDefault="00710A25">
            <w:r>
              <w:rPr>
                <w:sz w:val="18"/>
                <w:szCs w:val="18"/>
              </w:rPr>
              <w:t>EAAP-CORE-001</w:t>
            </w:r>
          </w:p>
        </w:tc>
      </w:tr>
      <w:tr w:rsidR="00D5649F" w14:paraId="6A095D2F" w14:textId="77777777" w:rsidTr="00CD62CE"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095D2D" w14:textId="77777777" w:rsidR="00D5649F" w:rsidRDefault="00710A25">
            <w:r>
              <w:rPr>
                <w:b/>
                <w:bCs/>
                <w:color w:val="1B2A4A"/>
                <w:sz w:val="18"/>
                <w:szCs w:val="18"/>
              </w:rPr>
              <w:t>Owner</w:t>
            </w:r>
          </w:p>
        </w:tc>
        <w:tc>
          <w:tcPr>
            <w:tcW w:w="71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095D2E" w14:textId="77777777" w:rsidR="00D5649F" w:rsidRDefault="00710A25">
            <w:r>
              <w:rPr>
                <w:sz w:val="18"/>
                <w:szCs w:val="18"/>
              </w:rPr>
              <w:t>John Goulden</w:t>
            </w:r>
          </w:p>
        </w:tc>
      </w:tr>
      <w:tr w:rsidR="00D5649F" w14:paraId="6A095D32" w14:textId="77777777" w:rsidTr="00CD62CE"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095D30" w14:textId="77777777" w:rsidR="00D5649F" w:rsidRDefault="00710A25">
            <w:r>
              <w:rPr>
                <w:b/>
                <w:bCs/>
                <w:color w:val="1B2A4A"/>
                <w:sz w:val="18"/>
                <w:szCs w:val="18"/>
              </w:rPr>
              <w:t>Date</w:t>
            </w:r>
          </w:p>
        </w:tc>
        <w:tc>
          <w:tcPr>
            <w:tcW w:w="71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095D31" w14:textId="77777777" w:rsidR="00D5649F" w:rsidRDefault="00710A25">
            <w:r>
              <w:rPr>
                <w:sz w:val="18"/>
                <w:szCs w:val="18"/>
              </w:rPr>
              <w:t>02.04.2026</w:t>
            </w:r>
          </w:p>
        </w:tc>
      </w:tr>
      <w:tr w:rsidR="00D5649F" w14:paraId="6A095D35" w14:textId="77777777" w:rsidTr="00CD62CE"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095D33" w14:textId="77777777" w:rsidR="00D5649F" w:rsidRDefault="00710A25">
            <w:r>
              <w:rPr>
                <w:b/>
                <w:bCs/>
                <w:color w:val="1B2A4A"/>
                <w:sz w:val="18"/>
                <w:szCs w:val="18"/>
              </w:rPr>
              <w:t>Contact</w:t>
            </w:r>
          </w:p>
        </w:tc>
        <w:tc>
          <w:tcPr>
            <w:tcW w:w="71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095D34" w14:textId="267CC0C9" w:rsidR="00D5649F" w:rsidRPr="0058682B" w:rsidRDefault="0058682B">
            <w:pPr>
              <w:rPr>
                <w:lang w:val="en-GB"/>
              </w:rPr>
            </w:pPr>
            <w:hyperlink r:id="rId7" w:history="1">
              <w:r w:rsidRPr="00136FA0">
                <w:rPr>
                  <w:rStyle w:val="Hyperlink"/>
                  <w:sz w:val="18"/>
                  <w:szCs w:val="18"/>
                </w:rPr>
                <w:t>research@johngoulden.de</w:t>
              </w:r>
            </w:hyperlink>
            <w:r>
              <w:rPr>
                <w:sz w:val="18"/>
                <w:szCs w:val="18"/>
                <w:lang w:val="en-GB"/>
              </w:rPr>
              <w:t xml:space="preserve"> </w:t>
            </w:r>
          </w:p>
        </w:tc>
      </w:tr>
    </w:tbl>
    <w:p w14:paraId="6A095D36" w14:textId="77777777" w:rsidR="00D5649F" w:rsidRDefault="00D5649F">
      <w:pPr>
        <w:spacing w:before="80"/>
      </w:pPr>
    </w:p>
    <w:p w14:paraId="6A095D37" w14:textId="77777777" w:rsidR="00D5649F" w:rsidRDefault="00710A25">
      <w:pPr>
        <w:pBdr>
          <w:bottom w:val="single" w:sz="6" w:space="0" w:color="1A6B6B"/>
        </w:pBdr>
        <w:spacing w:before="240" w:after="60"/>
      </w:pPr>
      <w:r>
        <w:rPr>
          <w:b/>
          <w:bCs/>
          <w:color w:val="1A6B6B"/>
          <w:sz w:val="20"/>
          <w:szCs w:val="20"/>
        </w:rPr>
        <w:t>Version History</w:t>
      </w:r>
    </w:p>
    <w:p w14:paraId="6A095D38" w14:textId="77777777" w:rsidR="00D5649F" w:rsidRDefault="00D5649F">
      <w:pPr>
        <w:spacing w:before="40"/>
      </w:pP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5122"/>
      </w:tblGrid>
      <w:tr w:rsidR="00D5649F" w14:paraId="6A095D3C" w14:textId="77777777" w:rsidTr="00CD62CE"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095D39" w14:textId="77777777" w:rsidR="00D5649F" w:rsidRDefault="00710A25">
            <w:r>
              <w:rPr>
                <w:b/>
                <w:bCs/>
                <w:color w:val="FFFFFF"/>
                <w:sz w:val="17"/>
                <w:szCs w:val="17"/>
              </w:rPr>
              <w:t>Version / Date</w:t>
            </w:r>
          </w:p>
        </w:tc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095D3A" w14:textId="77777777" w:rsidR="00D5649F" w:rsidRDefault="00710A25">
            <w:r>
              <w:rPr>
                <w:b/>
                <w:bCs/>
                <w:color w:val="FFFFFF"/>
                <w:sz w:val="17"/>
                <w:szCs w:val="17"/>
              </w:rPr>
              <w:t>Author</w:t>
            </w:r>
          </w:p>
        </w:tc>
        <w:tc>
          <w:tcPr>
            <w:tcW w:w="51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095D3B" w14:textId="77777777" w:rsidR="00D5649F" w:rsidRDefault="00710A25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D5649F" w14:paraId="6A095D40" w14:textId="77777777" w:rsidTr="00CD62CE"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095D3D" w14:textId="77777777" w:rsidR="00D5649F" w:rsidRDefault="00710A25">
            <w:r>
              <w:rPr>
                <w:b/>
                <w:bCs/>
                <w:color w:val="1B2A4A"/>
                <w:sz w:val="17"/>
                <w:szCs w:val="17"/>
              </w:rPr>
              <w:t>v1.0  |  02.04.2026</w:t>
            </w:r>
          </w:p>
        </w:tc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095D3E" w14:textId="77777777" w:rsidR="00D5649F" w:rsidRDefault="00710A25">
            <w:r>
              <w:rPr>
                <w:sz w:val="17"/>
                <w:szCs w:val="17"/>
              </w:rPr>
              <w:t>John Goulden</w:t>
            </w:r>
          </w:p>
        </w:tc>
        <w:tc>
          <w:tcPr>
            <w:tcW w:w="51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095D3F" w14:textId="77777777" w:rsidR="00D5649F" w:rsidRDefault="00710A25">
            <w:r>
              <w:rPr>
                <w:sz w:val="17"/>
                <w:szCs w:val="17"/>
              </w:rPr>
              <w:t>Initial release. ID corrected from EAAP-ARCH-003. All sections expanded. Implementation-specific content separated.</w:t>
            </w:r>
          </w:p>
        </w:tc>
      </w:tr>
    </w:tbl>
    <w:p w14:paraId="6A095D41" w14:textId="77777777" w:rsidR="00D5649F" w:rsidRDefault="00710A25">
      <w:r>
        <w:br w:type="page"/>
      </w:r>
    </w:p>
    <w:p w14:paraId="6A095D42" w14:textId="77777777" w:rsidR="00D5649F" w:rsidRDefault="00710A25" w:rsidP="00CD62CE">
      <w:pPr>
        <w:shd w:val="clear" w:color="auto" w:fill="1B2A4A"/>
        <w:spacing w:before="300"/>
      </w:pPr>
      <w:r>
        <w:rPr>
          <w:b/>
          <w:bCs/>
          <w:color w:val="FFFFFF"/>
          <w:sz w:val="22"/>
          <w:szCs w:val="22"/>
        </w:rPr>
        <w:lastRenderedPageBreak/>
        <w:t>TABLE OF CONTENTS</w:t>
      </w:r>
    </w:p>
    <w:p w14:paraId="6A095D43" w14:textId="77777777" w:rsidR="00D5649F" w:rsidRDefault="00D5649F">
      <w:pPr>
        <w:spacing w:before="80"/>
      </w:pPr>
    </w:p>
    <w:p w14:paraId="6A095D44" w14:textId="77777777" w:rsidR="00D5649F" w:rsidRDefault="00710A25">
      <w:pPr>
        <w:spacing w:before="100"/>
      </w:pPr>
      <w:r>
        <w:rPr>
          <w:b/>
          <w:bCs/>
          <w:color w:val="1B2A4A"/>
        </w:rPr>
        <w:t>1. Summary</w:t>
      </w:r>
      <w:r>
        <w:rPr>
          <w:sz w:val="17"/>
          <w:szCs w:val="17"/>
        </w:rPr>
        <w:ptab w:relativeTo="margin" w:alignment="right" w:leader="dot"/>
      </w:r>
    </w:p>
    <w:p w14:paraId="6A095D45" w14:textId="77777777" w:rsidR="00D5649F" w:rsidRDefault="00710A25">
      <w:pPr>
        <w:spacing w:before="100"/>
      </w:pPr>
      <w:r>
        <w:rPr>
          <w:b/>
          <w:bCs/>
          <w:color w:val="1B2A4A"/>
        </w:rPr>
        <w:t>2. Architecture Overview</w:t>
      </w:r>
      <w:r>
        <w:rPr>
          <w:sz w:val="17"/>
          <w:szCs w:val="17"/>
        </w:rPr>
        <w:ptab w:relativeTo="margin" w:alignment="right" w:leader="dot"/>
      </w:r>
    </w:p>
    <w:p w14:paraId="6A095D46" w14:textId="77777777" w:rsidR="00D5649F" w:rsidRDefault="00710A25">
      <w:pPr>
        <w:spacing w:before="100"/>
      </w:pPr>
      <w:r>
        <w:rPr>
          <w:b/>
          <w:bCs/>
          <w:color w:val="1B2A4A"/>
        </w:rPr>
        <w:t>3. Functional Flow</w:t>
      </w:r>
      <w:r>
        <w:rPr>
          <w:sz w:val="17"/>
          <w:szCs w:val="17"/>
        </w:rPr>
        <w:ptab w:relativeTo="margin" w:alignment="right" w:leader="dot"/>
      </w:r>
    </w:p>
    <w:p w14:paraId="6A095D47" w14:textId="77777777" w:rsidR="00D5649F" w:rsidRDefault="00710A25">
      <w:pPr>
        <w:spacing w:before="100"/>
      </w:pPr>
      <w:r>
        <w:rPr>
          <w:b/>
          <w:bCs/>
          <w:color w:val="1B2A4A"/>
        </w:rPr>
        <w:t>4. Domain Model</w:t>
      </w:r>
      <w:r>
        <w:rPr>
          <w:sz w:val="17"/>
          <w:szCs w:val="17"/>
        </w:rPr>
        <w:ptab w:relativeTo="margin" w:alignment="right" w:leader="dot"/>
      </w:r>
    </w:p>
    <w:p w14:paraId="6A095D48" w14:textId="77777777" w:rsidR="00D5649F" w:rsidRDefault="00710A25">
      <w:pPr>
        <w:spacing w:before="100"/>
      </w:pPr>
      <w:r>
        <w:rPr>
          <w:b/>
          <w:bCs/>
          <w:color w:val="1B2A4A"/>
        </w:rPr>
        <w:t>5. Repeatability Model</w:t>
      </w:r>
      <w:r>
        <w:rPr>
          <w:sz w:val="17"/>
          <w:szCs w:val="17"/>
        </w:rPr>
        <w:ptab w:relativeTo="margin" w:alignment="right" w:leader="dot"/>
      </w:r>
    </w:p>
    <w:p w14:paraId="6A095D49" w14:textId="77777777" w:rsidR="00D5649F" w:rsidRDefault="00710A25">
      <w:pPr>
        <w:spacing w:before="100"/>
      </w:pPr>
      <w:r>
        <w:rPr>
          <w:b/>
          <w:bCs/>
          <w:color w:val="1B2A4A"/>
        </w:rPr>
        <w:t>6. Governance Model</w:t>
      </w:r>
      <w:r>
        <w:rPr>
          <w:sz w:val="17"/>
          <w:szCs w:val="17"/>
        </w:rPr>
        <w:ptab w:relativeTo="margin" w:alignment="right" w:leader="dot"/>
      </w:r>
    </w:p>
    <w:p w14:paraId="6A095D4A" w14:textId="77777777" w:rsidR="00D5649F" w:rsidRDefault="00710A25">
      <w:pPr>
        <w:spacing w:before="100"/>
      </w:pPr>
      <w:r>
        <w:rPr>
          <w:b/>
          <w:bCs/>
          <w:color w:val="1B2A4A"/>
        </w:rPr>
        <w:t>7. Reference Implementation</w:t>
      </w:r>
      <w:r>
        <w:rPr>
          <w:sz w:val="17"/>
          <w:szCs w:val="17"/>
        </w:rPr>
        <w:ptab w:relativeTo="margin" w:alignment="right" w:leader="dot"/>
      </w:r>
    </w:p>
    <w:p w14:paraId="6A095D4B" w14:textId="77777777" w:rsidR="00D5649F" w:rsidRDefault="00710A25">
      <w:pPr>
        <w:spacing w:before="100"/>
      </w:pPr>
      <w:r>
        <w:rPr>
          <w:b/>
          <w:bCs/>
          <w:color w:val="1B2A4A"/>
        </w:rPr>
        <w:t>8. Risks and Assumptions</w:t>
      </w:r>
      <w:r>
        <w:rPr>
          <w:sz w:val="17"/>
          <w:szCs w:val="17"/>
        </w:rPr>
        <w:ptab w:relativeTo="margin" w:alignment="right" w:leader="dot"/>
      </w:r>
    </w:p>
    <w:p w14:paraId="6A095D4C" w14:textId="77777777" w:rsidR="00D5649F" w:rsidRDefault="00710A25">
      <w:pPr>
        <w:spacing w:before="100"/>
      </w:pPr>
      <w:r>
        <w:rPr>
          <w:b/>
          <w:bCs/>
          <w:color w:val="1B2A4A"/>
        </w:rPr>
        <w:t>9. Conclusion</w:t>
      </w:r>
      <w:r>
        <w:rPr>
          <w:sz w:val="17"/>
          <w:szCs w:val="17"/>
        </w:rPr>
        <w:ptab w:relativeTo="margin" w:alignment="right" w:leader="dot"/>
      </w:r>
    </w:p>
    <w:p w14:paraId="6A095D4D" w14:textId="77777777" w:rsidR="00D5649F" w:rsidRDefault="00710A25">
      <w:r>
        <w:br w:type="page"/>
      </w:r>
    </w:p>
    <w:p w14:paraId="6A095D4E" w14:textId="77777777" w:rsidR="00D5649F" w:rsidRDefault="00710A25" w:rsidP="00CD62CE">
      <w:pPr>
        <w:shd w:val="clear" w:color="auto" w:fill="1B2A4A"/>
        <w:spacing w:before="300"/>
      </w:pPr>
      <w:r>
        <w:rPr>
          <w:b/>
          <w:bCs/>
          <w:color w:val="FFFFFF"/>
          <w:sz w:val="22"/>
          <w:szCs w:val="22"/>
        </w:rPr>
        <w:lastRenderedPageBreak/>
        <w:t>FUNCTIONAL ARCHITECTURE MODEL</w:t>
      </w:r>
    </w:p>
    <w:p w14:paraId="6A095D4F" w14:textId="77777777" w:rsidR="00D5649F" w:rsidRDefault="00D5649F">
      <w:pPr>
        <w:spacing w:before="80"/>
      </w:pPr>
    </w:p>
    <w:p w14:paraId="6A095D50" w14:textId="77777777" w:rsidR="00D5649F" w:rsidRDefault="00710A25">
      <w:pPr>
        <w:pBdr>
          <w:bottom w:val="single" w:sz="6" w:space="0" w:color="1A6B6B"/>
        </w:pBdr>
        <w:spacing w:before="240" w:after="60"/>
      </w:pPr>
      <w:r>
        <w:rPr>
          <w:b/>
          <w:bCs/>
          <w:color w:val="1A6B6B"/>
          <w:sz w:val="20"/>
          <w:szCs w:val="20"/>
        </w:rPr>
        <w:t>1. Summary</w:t>
      </w:r>
    </w:p>
    <w:p w14:paraId="6A095D51" w14:textId="77777777" w:rsidR="00D5649F" w:rsidRDefault="00710A25">
      <w:pPr>
        <w:spacing w:before="60"/>
      </w:pPr>
      <w:r>
        <w:t>This document defines how EAAP operates as a functional system and how it is implemented as a repeatable enterprise architecture pattern. It describes the layers, flows, domain model, governance structure, and repeatability approach that constitute the EAAP functional architecture.</w:t>
      </w:r>
    </w:p>
    <w:p w14:paraId="6A095D52" w14:textId="77777777" w:rsidR="00D5649F" w:rsidRDefault="00710A25">
      <w:pPr>
        <w:spacing w:before="40"/>
      </w:pPr>
      <w:r>
        <w:t>This document is architecture-level. Implementation-specific technology choices are documented in EAAP-ARCH-005 (HLD) and EAAP-ARCH-006 (Deployment Model).</w:t>
      </w:r>
    </w:p>
    <w:p w14:paraId="6A095D53" w14:textId="77777777" w:rsidR="00D5649F" w:rsidRDefault="00D5649F">
      <w:pPr>
        <w:spacing w:before="80"/>
      </w:pPr>
    </w:p>
    <w:p w14:paraId="6A095D54" w14:textId="77777777" w:rsidR="00D5649F" w:rsidRDefault="00710A25">
      <w:pPr>
        <w:pBdr>
          <w:bottom w:val="single" w:sz="6" w:space="0" w:color="1A6B6B"/>
        </w:pBdr>
        <w:spacing w:before="240" w:after="60"/>
      </w:pPr>
      <w:r>
        <w:rPr>
          <w:b/>
          <w:bCs/>
          <w:color w:val="1A6B6B"/>
          <w:sz w:val="20"/>
          <w:szCs w:val="20"/>
        </w:rPr>
        <w:t>2. Architecture Overview</w:t>
      </w:r>
    </w:p>
    <w:p w14:paraId="6A095D55" w14:textId="77777777" w:rsidR="00D5649F" w:rsidRDefault="00D5649F">
      <w:pPr>
        <w:spacing w:before="40"/>
      </w:pP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200"/>
        <w:gridCol w:w="3722"/>
      </w:tblGrid>
      <w:tr w:rsidR="00D5649F" w14:paraId="6A095D59" w14:textId="77777777" w:rsidTr="00CD62CE"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095D56" w14:textId="77777777" w:rsidR="00D5649F" w:rsidRDefault="00710A25">
            <w:r>
              <w:rPr>
                <w:b/>
                <w:bCs/>
                <w:color w:val="FFFFFF"/>
                <w:sz w:val="17"/>
                <w:szCs w:val="17"/>
              </w:rPr>
              <w:t>Layer</w:t>
            </w:r>
          </w:p>
        </w:tc>
        <w:tc>
          <w:tcPr>
            <w:tcW w:w="4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095D57" w14:textId="77777777" w:rsidR="00D5649F" w:rsidRDefault="00710A25">
            <w:r>
              <w:rPr>
                <w:b/>
                <w:bCs/>
                <w:color w:val="FFFFFF"/>
                <w:sz w:val="17"/>
                <w:szCs w:val="17"/>
              </w:rPr>
              <w:t>Function</w:t>
            </w:r>
          </w:p>
        </w:tc>
        <w:tc>
          <w:tcPr>
            <w:tcW w:w="37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095D58" w14:textId="77777777" w:rsidR="00D5649F" w:rsidRDefault="00710A25">
            <w:r>
              <w:rPr>
                <w:b/>
                <w:bCs/>
                <w:color w:val="FFFFFF"/>
                <w:sz w:val="17"/>
                <w:szCs w:val="17"/>
              </w:rPr>
              <w:t>Key Characteristic</w:t>
            </w:r>
          </w:p>
        </w:tc>
      </w:tr>
      <w:tr w:rsidR="00D5649F" w14:paraId="6A095D5D" w14:textId="77777777" w:rsidTr="00CD62CE"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095D5A" w14:textId="77777777" w:rsidR="00D5649F" w:rsidRDefault="00710A25">
            <w:r>
              <w:rPr>
                <w:b/>
                <w:bCs/>
                <w:color w:val="1B2A4A"/>
                <w:sz w:val="17"/>
                <w:szCs w:val="17"/>
              </w:rPr>
              <w:t>Orchestration</w:t>
            </w:r>
          </w:p>
        </w:tc>
        <w:tc>
          <w:tcPr>
            <w:tcW w:w="4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095D5B" w14:textId="77777777" w:rsidR="00D5649F" w:rsidRDefault="00710A25">
            <w:r>
              <w:rPr>
                <w:sz w:val="17"/>
                <w:szCs w:val="17"/>
              </w:rPr>
              <w:t>Coordinates domain agents, resolves conflicts, enforces governance.</w:t>
            </w:r>
          </w:p>
        </w:tc>
        <w:tc>
          <w:tcPr>
            <w:tcW w:w="37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095D5C" w14:textId="77777777" w:rsidR="00D5649F" w:rsidRDefault="00710A25">
            <w:r>
              <w:rPr>
                <w:sz w:val="17"/>
                <w:szCs w:val="17"/>
              </w:rPr>
              <w:t>Supervisory. Advisory. No direct execution authority.</w:t>
            </w:r>
          </w:p>
        </w:tc>
      </w:tr>
      <w:tr w:rsidR="00D5649F" w14:paraId="6A095D61" w14:textId="77777777" w:rsidTr="00CD62CE"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095D5E" w14:textId="77777777" w:rsidR="00D5649F" w:rsidRDefault="00710A25">
            <w:r>
              <w:rPr>
                <w:b/>
                <w:bCs/>
                <w:color w:val="1B2A4A"/>
                <w:sz w:val="17"/>
                <w:szCs w:val="17"/>
              </w:rPr>
              <w:t>Domain Agent</w:t>
            </w:r>
          </w:p>
        </w:tc>
        <w:tc>
          <w:tcPr>
            <w:tcW w:w="4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095D5F" w14:textId="77777777" w:rsidR="00D5649F" w:rsidRDefault="00710A25">
            <w:r>
              <w:rPr>
                <w:sz w:val="17"/>
                <w:szCs w:val="17"/>
              </w:rPr>
              <w:t>Provides domain-specific reasoning within strict boundaries.</w:t>
            </w:r>
          </w:p>
        </w:tc>
        <w:tc>
          <w:tcPr>
            <w:tcW w:w="37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095D60" w14:textId="77777777" w:rsidR="00D5649F" w:rsidRDefault="00710A25">
            <w:r>
              <w:rPr>
                <w:sz w:val="17"/>
                <w:szCs w:val="17"/>
              </w:rPr>
              <w:t>Isolated. Evidence-bound. Structured outputs only.</w:t>
            </w:r>
          </w:p>
        </w:tc>
      </w:tr>
      <w:tr w:rsidR="00D5649F" w14:paraId="6A095D65" w14:textId="77777777" w:rsidTr="00CD62CE"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095D62" w14:textId="77777777" w:rsidR="00D5649F" w:rsidRDefault="00710A25">
            <w:r>
              <w:rPr>
                <w:b/>
                <w:bCs/>
                <w:color w:val="1B2A4A"/>
                <w:sz w:val="17"/>
                <w:szCs w:val="17"/>
              </w:rPr>
              <w:t>Knowledge</w:t>
            </w:r>
          </w:p>
        </w:tc>
        <w:tc>
          <w:tcPr>
            <w:tcW w:w="4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095D63" w14:textId="77777777" w:rsidR="00D5649F" w:rsidRDefault="00710A25">
            <w:r>
              <w:rPr>
                <w:sz w:val="17"/>
                <w:szCs w:val="17"/>
              </w:rPr>
              <w:t>Grounds agent reasoning in structured knowledge sources.</w:t>
            </w:r>
          </w:p>
        </w:tc>
        <w:tc>
          <w:tcPr>
            <w:tcW w:w="37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095D64" w14:textId="77777777" w:rsidR="00D5649F" w:rsidRDefault="00710A25">
            <w:r>
              <w:rPr>
                <w:sz w:val="17"/>
                <w:szCs w:val="17"/>
              </w:rPr>
              <w:t>Evidence-classified. Version-controlled. Locally hosted.</w:t>
            </w:r>
          </w:p>
        </w:tc>
      </w:tr>
      <w:tr w:rsidR="00D5649F" w14:paraId="6A095D69" w14:textId="77777777" w:rsidTr="00CD62CE"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095D66" w14:textId="77777777" w:rsidR="00D5649F" w:rsidRDefault="00710A25">
            <w:r>
              <w:rPr>
                <w:b/>
                <w:bCs/>
                <w:color w:val="1B2A4A"/>
                <w:sz w:val="17"/>
                <w:szCs w:val="17"/>
              </w:rPr>
              <w:t>Execution</w:t>
            </w:r>
          </w:p>
        </w:tc>
        <w:tc>
          <w:tcPr>
            <w:tcW w:w="4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095D67" w14:textId="77777777" w:rsidR="00D5649F" w:rsidRDefault="00710A25">
            <w:r>
              <w:rPr>
                <w:sz w:val="17"/>
                <w:szCs w:val="17"/>
              </w:rPr>
              <w:t>Controls all write actions via the Automation Gateway.</w:t>
            </w:r>
          </w:p>
        </w:tc>
        <w:tc>
          <w:tcPr>
            <w:tcW w:w="37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095D68" w14:textId="77777777" w:rsidR="00D5649F" w:rsidRDefault="00710A25">
            <w:r>
              <w:rPr>
                <w:sz w:val="17"/>
                <w:szCs w:val="17"/>
              </w:rPr>
              <w:t>Deny-by-default. Plan-approve-execute. Audit-logged.</w:t>
            </w:r>
          </w:p>
        </w:tc>
      </w:tr>
      <w:tr w:rsidR="00D5649F" w14:paraId="6A095D6D" w14:textId="77777777" w:rsidTr="00CD62CE"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095D6A" w14:textId="77777777" w:rsidR="00D5649F" w:rsidRDefault="00710A25">
            <w:r>
              <w:rPr>
                <w:b/>
                <w:bCs/>
                <w:color w:val="1B2A4A"/>
                <w:sz w:val="17"/>
                <w:szCs w:val="17"/>
              </w:rPr>
              <w:t>Governance</w:t>
            </w:r>
          </w:p>
        </w:tc>
        <w:tc>
          <w:tcPr>
            <w:tcW w:w="4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095D6B" w14:textId="77777777" w:rsidR="00D5649F" w:rsidRDefault="00710A25">
            <w:r>
              <w:rPr>
                <w:sz w:val="17"/>
                <w:szCs w:val="17"/>
              </w:rPr>
              <w:t>Enforces traceability, audit, escalation, and human oversight.</w:t>
            </w:r>
          </w:p>
        </w:tc>
        <w:tc>
          <w:tcPr>
            <w:tcW w:w="37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095D6C" w14:textId="77777777" w:rsidR="00D5649F" w:rsidRDefault="00710A25">
            <w:r>
              <w:rPr>
                <w:sz w:val="17"/>
                <w:szCs w:val="17"/>
              </w:rPr>
              <w:t>Structural. Non-optional. Applied across all layers.</w:t>
            </w:r>
          </w:p>
        </w:tc>
      </w:tr>
    </w:tbl>
    <w:p w14:paraId="6A095D6E" w14:textId="77777777" w:rsidR="00D5649F" w:rsidRDefault="00D5649F">
      <w:pPr>
        <w:spacing w:before="80"/>
      </w:pPr>
    </w:p>
    <w:p w14:paraId="6A095D6F" w14:textId="77777777" w:rsidR="00D5649F" w:rsidRDefault="00710A25">
      <w:pPr>
        <w:pBdr>
          <w:bottom w:val="single" w:sz="6" w:space="0" w:color="1A6B6B"/>
        </w:pBdr>
        <w:spacing w:before="240" w:after="60"/>
      </w:pPr>
      <w:r>
        <w:rPr>
          <w:b/>
          <w:bCs/>
          <w:color w:val="1A6B6B"/>
          <w:sz w:val="20"/>
          <w:szCs w:val="20"/>
        </w:rPr>
        <w:t>3. Functional Flow</w:t>
      </w:r>
    </w:p>
    <w:p w14:paraId="6A095D70" w14:textId="77777777" w:rsidR="00D5649F" w:rsidRDefault="00D5649F">
      <w:pPr>
        <w:spacing w:before="40"/>
      </w:pP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15"/>
        <w:gridCol w:w="3954"/>
        <w:gridCol w:w="4653"/>
      </w:tblGrid>
      <w:tr w:rsidR="00D5649F" w14:paraId="6A095D74" w14:textId="77777777" w:rsidTr="00CD62CE">
        <w:tc>
          <w:tcPr>
            <w:tcW w:w="1315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095D71" w14:textId="77777777" w:rsidR="00D5649F" w:rsidRDefault="00710A25">
            <w:r>
              <w:rPr>
                <w:b/>
                <w:bCs/>
                <w:color w:val="FFFFFF"/>
                <w:sz w:val="17"/>
                <w:szCs w:val="17"/>
              </w:rPr>
              <w:t>Step</w:t>
            </w:r>
          </w:p>
        </w:tc>
        <w:tc>
          <w:tcPr>
            <w:tcW w:w="3954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095D72" w14:textId="77777777" w:rsidR="00D5649F" w:rsidRDefault="00710A25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  <w:tc>
          <w:tcPr>
            <w:tcW w:w="4653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095D73" w14:textId="77777777" w:rsidR="00D5649F" w:rsidRDefault="00710A25">
            <w:r>
              <w:rPr>
                <w:b/>
                <w:bCs/>
                <w:color w:val="FFFFFF"/>
                <w:sz w:val="17"/>
                <w:szCs w:val="17"/>
              </w:rPr>
              <w:t>Output</w:t>
            </w:r>
          </w:p>
        </w:tc>
      </w:tr>
      <w:tr w:rsidR="00D5649F" w14:paraId="6A095D78" w14:textId="77777777" w:rsidTr="00CD62CE">
        <w:tc>
          <w:tcPr>
            <w:tcW w:w="1315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095D75" w14:textId="77777777" w:rsidR="00D5649F" w:rsidRDefault="00710A25">
            <w:r>
              <w:rPr>
                <w:b/>
                <w:bCs/>
                <w:color w:val="1B2A4A"/>
                <w:sz w:val="17"/>
                <w:szCs w:val="17"/>
              </w:rPr>
              <w:t>1. Request Intake</w:t>
            </w:r>
          </w:p>
        </w:tc>
        <w:tc>
          <w:tcPr>
            <w:tcW w:w="3954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095D76" w14:textId="77777777" w:rsidR="00D5649F" w:rsidRDefault="00710A25">
            <w:r>
              <w:rPr>
                <w:sz w:val="17"/>
                <w:szCs w:val="17"/>
              </w:rPr>
              <w:t>User submits request through presentation layer.</w:t>
            </w:r>
          </w:p>
        </w:tc>
        <w:tc>
          <w:tcPr>
            <w:tcW w:w="4653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095D77" w14:textId="77777777" w:rsidR="00D5649F" w:rsidRDefault="00710A25">
            <w:r>
              <w:rPr>
                <w:sz w:val="17"/>
                <w:szCs w:val="17"/>
              </w:rPr>
              <w:t>Validated, structured input.</w:t>
            </w:r>
          </w:p>
        </w:tc>
      </w:tr>
      <w:tr w:rsidR="00D5649F" w14:paraId="6A095D7C" w14:textId="77777777" w:rsidTr="00CD62CE">
        <w:tc>
          <w:tcPr>
            <w:tcW w:w="1315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095D79" w14:textId="77777777" w:rsidR="00D5649F" w:rsidRDefault="00710A25">
            <w:r>
              <w:rPr>
                <w:b/>
                <w:bCs/>
                <w:color w:val="1B2A4A"/>
                <w:sz w:val="17"/>
                <w:szCs w:val="17"/>
              </w:rPr>
              <w:t>2. Intent Classification</w:t>
            </w:r>
          </w:p>
        </w:tc>
        <w:tc>
          <w:tcPr>
            <w:tcW w:w="3954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095D7A" w14:textId="77777777" w:rsidR="00D5649F" w:rsidRDefault="00710A25">
            <w:r>
              <w:rPr>
                <w:sz w:val="17"/>
                <w:szCs w:val="17"/>
              </w:rPr>
              <w:t>Orchestrator classifies request against six intent types.</w:t>
            </w:r>
          </w:p>
        </w:tc>
        <w:tc>
          <w:tcPr>
            <w:tcW w:w="4653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095D7B" w14:textId="77777777" w:rsidR="00D5649F" w:rsidRDefault="00710A25">
            <w:r>
              <w:rPr>
                <w:sz w:val="17"/>
                <w:szCs w:val="17"/>
              </w:rPr>
              <w:t>Intent type and domain routing plan.</w:t>
            </w:r>
          </w:p>
        </w:tc>
      </w:tr>
      <w:tr w:rsidR="00D5649F" w14:paraId="6A095D80" w14:textId="77777777" w:rsidTr="00CD62CE">
        <w:tc>
          <w:tcPr>
            <w:tcW w:w="1315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095D7D" w14:textId="77777777" w:rsidR="00D5649F" w:rsidRDefault="00710A25">
            <w:r>
              <w:rPr>
                <w:b/>
                <w:bCs/>
                <w:color w:val="1B2A4A"/>
                <w:sz w:val="17"/>
                <w:szCs w:val="17"/>
              </w:rPr>
              <w:t>3. Domain Selection</w:t>
            </w:r>
          </w:p>
        </w:tc>
        <w:tc>
          <w:tcPr>
            <w:tcW w:w="3954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095D7E" w14:textId="77777777" w:rsidR="00D5649F" w:rsidRDefault="00710A25">
            <w:r>
              <w:rPr>
                <w:sz w:val="17"/>
                <w:szCs w:val="17"/>
              </w:rPr>
              <w:t>Orchestrator assigns primary and supporting domain agents.</w:t>
            </w:r>
          </w:p>
        </w:tc>
        <w:tc>
          <w:tcPr>
            <w:tcW w:w="4653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095D7F" w14:textId="77777777" w:rsidR="00D5649F" w:rsidRDefault="00710A25">
            <w:r>
              <w:rPr>
                <w:sz w:val="17"/>
                <w:szCs w:val="17"/>
              </w:rPr>
              <w:t>Domain authority assignments.</w:t>
            </w:r>
          </w:p>
        </w:tc>
      </w:tr>
      <w:tr w:rsidR="00D5649F" w14:paraId="6A095D84" w14:textId="77777777" w:rsidTr="00CD62CE">
        <w:tc>
          <w:tcPr>
            <w:tcW w:w="1315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095D81" w14:textId="77777777" w:rsidR="00D5649F" w:rsidRDefault="00710A25">
            <w:r>
              <w:rPr>
                <w:b/>
                <w:bCs/>
                <w:color w:val="1B2A4A"/>
                <w:sz w:val="17"/>
                <w:szCs w:val="17"/>
              </w:rPr>
              <w:t>4. Domain Reasoning</w:t>
            </w:r>
          </w:p>
        </w:tc>
        <w:tc>
          <w:tcPr>
            <w:tcW w:w="3954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095D82" w14:textId="77777777" w:rsidR="00D5649F" w:rsidRDefault="00710A25">
            <w:r>
              <w:rPr>
                <w:sz w:val="17"/>
                <w:szCs w:val="17"/>
              </w:rPr>
              <w:t>Each domain agent processes request independently.</w:t>
            </w:r>
          </w:p>
        </w:tc>
        <w:tc>
          <w:tcPr>
            <w:tcW w:w="4653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095D83" w14:textId="77777777" w:rsidR="00D5649F" w:rsidRDefault="00710A25">
            <w:r>
              <w:rPr>
                <w:sz w:val="17"/>
                <w:szCs w:val="17"/>
              </w:rPr>
              <w:t>Structured domain outputs with evidence and confidence.</w:t>
            </w:r>
          </w:p>
        </w:tc>
      </w:tr>
      <w:tr w:rsidR="00D5649F" w14:paraId="6A095D88" w14:textId="77777777" w:rsidTr="00CD62CE">
        <w:tc>
          <w:tcPr>
            <w:tcW w:w="1315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095D85" w14:textId="77777777" w:rsidR="00D5649F" w:rsidRDefault="00710A25">
            <w:r>
              <w:rPr>
                <w:b/>
                <w:bCs/>
                <w:color w:val="1B2A4A"/>
                <w:sz w:val="17"/>
                <w:szCs w:val="17"/>
              </w:rPr>
              <w:t>5. Orchestration and Synthesis</w:t>
            </w:r>
          </w:p>
        </w:tc>
        <w:tc>
          <w:tcPr>
            <w:tcW w:w="3954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095D86" w14:textId="77777777" w:rsidR="00D5649F" w:rsidRDefault="00710A25">
            <w:r>
              <w:rPr>
                <w:sz w:val="17"/>
                <w:szCs w:val="17"/>
              </w:rPr>
              <w:t>Aggregates outputs, detects conflicts, applies arbitration.</w:t>
            </w:r>
          </w:p>
        </w:tc>
        <w:tc>
          <w:tcPr>
            <w:tcW w:w="4653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095D87" w14:textId="77777777" w:rsidR="00D5649F" w:rsidRDefault="00710A25">
            <w:r>
              <w:rPr>
                <w:sz w:val="17"/>
                <w:szCs w:val="17"/>
              </w:rPr>
              <w:t>Synthesised output with conflict log and confidence.</w:t>
            </w:r>
          </w:p>
        </w:tc>
      </w:tr>
      <w:tr w:rsidR="00D5649F" w14:paraId="6A095D8C" w14:textId="77777777" w:rsidTr="00CD62CE">
        <w:tc>
          <w:tcPr>
            <w:tcW w:w="1315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095D89" w14:textId="77777777" w:rsidR="00D5649F" w:rsidRDefault="00710A25">
            <w:r>
              <w:rPr>
                <w:b/>
                <w:bCs/>
                <w:color w:val="1B2A4A"/>
                <w:sz w:val="17"/>
                <w:szCs w:val="17"/>
              </w:rPr>
              <w:t>6. Structured Output</w:t>
            </w:r>
          </w:p>
        </w:tc>
        <w:tc>
          <w:tcPr>
            <w:tcW w:w="3954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095D8A" w14:textId="77777777" w:rsidR="00D5649F" w:rsidRDefault="00710A25">
            <w:r>
              <w:rPr>
                <w:sz w:val="17"/>
                <w:szCs w:val="17"/>
              </w:rPr>
              <w:t>Composes mandatory 15-field output structure.</w:t>
            </w:r>
          </w:p>
        </w:tc>
        <w:tc>
          <w:tcPr>
            <w:tcW w:w="4653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095D8B" w14:textId="77777777" w:rsidR="00D5649F" w:rsidRDefault="00710A25">
            <w:r>
              <w:rPr>
                <w:sz w:val="17"/>
                <w:szCs w:val="17"/>
              </w:rPr>
              <w:t>Governance-ready output.</w:t>
            </w:r>
          </w:p>
        </w:tc>
      </w:tr>
      <w:tr w:rsidR="00D5649F" w14:paraId="6A095D90" w14:textId="77777777" w:rsidTr="00CD62CE">
        <w:tc>
          <w:tcPr>
            <w:tcW w:w="1315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095D8D" w14:textId="77777777" w:rsidR="00D5649F" w:rsidRDefault="00710A25">
            <w:r>
              <w:rPr>
                <w:b/>
                <w:bCs/>
                <w:color w:val="1B2A4A"/>
                <w:sz w:val="17"/>
                <w:szCs w:val="17"/>
              </w:rPr>
              <w:t>7. Controlled Execution</w:t>
            </w:r>
          </w:p>
        </w:tc>
        <w:tc>
          <w:tcPr>
            <w:tcW w:w="3954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095D8E" w14:textId="77777777" w:rsidR="00D5649F" w:rsidRDefault="00710A25">
            <w:r>
              <w:rPr>
                <w:sz w:val="17"/>
                <w:szCs w:val="17"/>
              </w:rPr>
              <w:t>If execution required, Gateway applies plan-approve-execute.</w:t>
            </w:r>
          </w:p>
        </w:tc>
        <w:tc>
          <w:tcPr>
            <w:tcW w:w="4653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095D8F" w14:textId="77777777" w:rsidR="00D5649F" w:rsidRDefault="00710A25">
            <w:r>
              <w:rPr>
                <w:sz w:val="17"/>
                <w:szCs w:val="17"/>
              </w:rPr>
              <w:t>Audit-logged execution with before/after state.</w:t>
            </w:r>
          </w:p>
        </w:tc>
      </w:tr>
    </w:tbl>
    <w:p w14:paraId="6A095D91" w14:textId="77777777" w:rsidR="00D5649F" w:rsidRDefault="00D5649F">
      <w:pPr>
        <w:spacing w:before="80"/>
      </w:pPr>
    </w:p>
    <w:p w14:paraId="6A095D92" w14:textId="77777777" w:rsidR="00D5649F" w:rsidRDefault="00710A25">
      <w:pPr>
        <w:pBdr>
          <w:bottom w:val="single" w:sz="6" w:space="0" w:color="1A6B6B"/>
        </w:pBdr>
        <w:spacing w:before="240" w:after="60"/>
      </w:pPr>
      <w:r>
        <w:rPr>
          <w:b/>
          <w:bCs/>
          <w:color w:val="1A6B6B"/>
          <w:sz w:val="20"/>
          <w:szCs w:val="20"/>
        </w:rPr>
        <w:t>4. Domain Model</w:t>
      </w:r>
    </w:p>
    <w:p w14:paraId="6A095D93" w14:textId="77777777" w:rsidR="00D5649F" w:rsidRDefault="00710A25">
      <w:pPr>
        <w:spacing w:before="60"/>
      </w:pPr>
      <w:r>
        <w:t>Domain agents are the primary reasoning components. Each operates within the six mandatory boundaries from EAAP-ARCH-001. Agents do not communicate with each other. All cross-domain coordination passes through the Orchestration Layer.</w:t>
      </w:r>
    </w:p>
    <w:p w14:paraId="6A095D94" w14:textId="77777777" w:rsidR="00D5649F" w:rsidRDefault="00D5649F">
      <w:pPr>
        <w:spacing w:before="80"/>
      </w:pPr>
    </w:p>
    <w:p w14:paraId="6A095D95" w14:textId="77777777" w:rsidR="00D5649F" w:rsidRDefault="00710A25">
      <w:pPr>
        <w:pBdr>
          <w:bottom w:val="single" w:sz="6" w:space="0" w:color="1A6B6B"/>
        </w:pBdr>
        <w:spacing w:before="240" w:after="60"/>
      </w:pPr>
      <w:r>
        <w:rPr>
          <w:b/>
          <w:bCs/>
          <w:color w:val="1A6B6B"/>
          <w:sz w:val="20"/>
          <w:szCs w:val="20"/>
        </w:rPr>
        <w:t>5. Repeatability Model</w:t>
      </w:r>
    </w:p>
    <w:p w14:paraId="6A095D96" w14:textId="77777777" w:rsidR="00D5649F" w:rsidRDefault="00D5649F">
      <w:pPr>
        <w:spacing w:before="40"/>
      </w:pP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8"/>
        <w:gridCol w:w="3977"/>
        <w:gridCol w:w="4677"/>
      </w:tblGrid>
      <w:tr w:rsidR="00D5649F" w14:paraId="6A095D9A" w14:textId="77777777" w:rsidTr="00CD62CE">
        <w:tc>
          <w:tcPr>
            <w:tcW w:w="1268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095D97" w14:textId="77777777" w:rsidR="00D5649F" w:rsidRDefault="00710A25">
            <w:r>
              <w:rPr>
                <w:b/>
                <w:bCs/>
                <w:color w:val="FFFFFF"/>
                <w:sz w:val="17"/>
                <w:szCs w:val="17"/>
              </w:rPr>
              <w:t>Phase</w:t>
            </w:r>
          </w:p>
        </w:tc>
        <w:tc>
          <w:tcPr>
            <w:tcW w:w="3977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095D98" w14:textId="77777777" w:rsidR="00D5649F" w:rsidRDefault="00710A25">
            <w:r>
              <w:rPr>
                <w:b/>
                <w:bCs/>
                <w:color w:val="FFFFFF"/>
                <w:sz w:val="17"/>
                <w:szCs w:val="17"/>
              </w:rPr>
              <w:t>Action</w:t>
            </w:r>
          </w:p>
        </w:tc>
        <w:tc>
          <w:tcPr>
            <w:tcW w:w="4677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095D99" w14:textId="77777777" w:rsidR="00D5649F" w:rsidRDefault="00710A25">
            <w:r>
              <w:rPr>
                <w:b/>
                <w:bCs/>
                <w:color w:val="FFFFFF"/>
                <w:sz w:val="17"/>
                <w:szCs w:val="17"/>
              </w:rPr>
              <w:t>Governance Gate</w:t>
            </w:r>
          </w:p>
        </w:tc>
      </w:tr>
      <w:tr w:rsidR="00D5649F" w14:paraId="6A095D9E" w14:textId="77777777" w:rsidTr="00CD62CE">
        <w:tc>
          <w:tcPr>
            <w:tcW w:w="1268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095D9B" w14:textId="77777777" w:rsidR="00D5649F" w:rsidRDefault="00710A25">
            <w:r>
              <w:rPr>
                <w:b/>
                <w:bCs/>
                <w:color w:val="1B2A4A"/>
                <w:sz w:val="17"/>
                <w:szCs w:val="17"/>
              </w:rPr>
              <w:lastRenderedPageBreak/>
              <w:t>1. Domain Definition</w:t>
            </w:r>
          </w:p>
        </w:tc>
        <w:tc>
          <w:tcPr>
            <w:tcW w:w="3977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095D9C" w14:textId="77777777" w:rsidR="00D5649F" w:rsidRDefault="00710A25">
            <w:r>
              <w:rPr>
                <w:sz w:val="17"/>
                <w:szCs w:val="17"/>
              </w:rPr>
              <w:t>Define domain scope, boundaries, and evidence sources.</w:t>
            </w:r>
          </w:p>
        </w:tc>
        <w:tc>
          <w:tcPr>
            <w:tcW w:w="4677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095D9D" w14:textId="77777777" w:rsidR="00D5649F" w:rsidRDefault="00710A25">
            <w:r>
              <w:rPr>
                <w:sz w:val="17"/>
                <w:szCs w:val="17"/>
              </w:rPr>
              <w:t>Architecture review against EAAP-ARCH-001.</w:t>
            </w:r>
          </w:p>
        </w:tc>
      </w:tr>
      <w:tr w:rsidR="00D5649F" w14:paraId="6A095DA2" w14:textId="77777777" w:rsidTr="00CD62CE">
        <w:tc>
          <w:tcPr>
            <w:tcW w:w="1268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095D9F" w14:textId="77777777" w:rsidR="00D5649F" w:rsidRDefault="00710A25">
            <w:r>
              <w:rPr>
                <w:b/>
                <w:bCs/>
                <w:color w:val="1B2A4A"/>
                <w:sz w:val="17"/>
                <w:szCs w:val="17"/>
              </w:rPr>
              <w:t>2. Agent Development</w:t>
            </w:r>
          </w:p>
        </w:tc>
        <w:tc>
          <w:tcPr>
            <w:tcW w:w="3977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095DA0" w14:textId="77777777" w:rsidR="00D5649F" w:rsidRDefault="00710A25">
            <w:r>
              <w:rPr>
                <w:sz w:val="17"/>
                <w:szCs w:val="17"/>
              </w:rPr>
              <w:t>Develop system prompt conforming to mandatory skeleton.</w:t>
            </w:r>
          </w:p>
        </w:tc>
        <w:tc>
          <w:tcPr>
            <w:tcW w:w="4677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095DA1" w14:textId="77777777" w:rsidR="00D5649F" w:rsidRDefault="00710A25">
            <w:r>
              <w:rPr>
                <w:sz w:val="17"/>
                <w:szCs w:val="17"/>
              </w:rPr>
              <w:t>Prompt review against EAAP-ARCH-002A.</w:t>
            </w:r>
          </w:p>
        </w:tc>
      </w:tr>
      <w:tr w:rsidR="00D5649F" w14:paraId="6A095DA6" w14:textId="77777777" w:rsidTr="00CD62CE">
        <w:tc>
          <w:tcPr>
            <w:tcW w:w="1268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095DA3" w14:textId="77777777" w:rsidR="00D5649F" w:rsidRDefault="00710A25">
            <w:r>
              <w:rPr>
                <w:b/>
                <w:bCs/>
                <w:color w:val="1B2A4A"/>
                <w:sz w:val="17"/>
                <w:szCs w:val="17"/>
              </w:rPr>
              <w:t>3. Knowledge Integration</w:t>
            </w:r>
          </w:p>
        </w:tc>
        <w:tc>
          <w:tcPr>
            <w:tcW w:w="3977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095DA4" w14:textId="77777777" w:rsidR="00D5649F" w:rsidRDefault="00710A25">
            <w:r>
              <w:rPr>
                <w:sz w:val="17"/>
                <w:szCs w:val="17"/>
              </w:rPr>
              <w:t>Add domain documentation to knowledge layer.</w:t>
            </w:r>
          </w:p>
        </w:tc>
        <w:tc>
          <w:tcPr>
            <w:tcW w:w="4677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095DA5" w14:textId="77777777" w:rsidR="00D5649F" w:rsidRDefault="00710A25">
            <w:r>
              <w:rPr>
                <w:sz w:val="17"/>
                <w:szCs w:val="17"/>
              </w:rPr>
              <w:t>Evidence classification and version tagging.</w:t>
            </w:r>
          </w:p>
        </w:tc>
      </w:tr>
      <w:tr w:rsidR="00D5649F" w14:paraId="6A095DAA" w14:textId="77777777" w:rsidTr="00CD62CE">
        <w:tc>
          <w:tcPr>
            <w:tcW w:w="1268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095DA7" w14:textId="77777777" w:rsidR="00D5649F" w:rsidRDefault="00710A25">
            <w:r>
              <w:rPr>
                <w:b/>
                <w:bCs/>
                <w:color w:val="1B2A4A"/>
                <w:sz w:val="17"/>
                <w:szCs w:val="17"/>
              </w:rPr>
              <w:t>4. Agent Deployment</w:t>
            </w:r>
          </w:p>
        </w:tc>
        <w:tc>
          <w:tcPr>
            <w:tcW w:w="3977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095DA8" w14:textId="77777777" w:rsidR="00D5649F" w:rsidRDefault="00710A25">
            <w:r>
              <w:rPr>
                <w:sz w:val="17"/>
                <w:szCs w:val="17"/>
              </w:rPr>
              <w:t>Deploy agent container with pinned version.</w:t>
            </w:r>
          </w:p>
        </w:tc>
        <w:tc>
          <w:tcPr>
            <w:tcW w:w="4677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095DA9" w14:textId="77777777" w:rsidR="00D5649F" w:rsidRDefault="00710A25">
            <w:r>
              <w:rPr>
                <w:sz w:val="17"/>
                <w:szCs w:val="17"/>
              </w:rPr>
              <w:t>Deployment validation checklist.</w:t>
            </w:r>
          </w:p>
        </w:tc>
      </w:tr>
      <w:tr w:rsidR="00D5649F" w14:paraId="6A095DAE" w14:textId="77777777" w:rsidTr="00CD62CE">
        <w:tc>
          <w:tcPr>
            <w:tcW w:w="1268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095DAB" w14:textId="77777777" w:rsidR="00D5649F" w:rsidRDefault="00710A25">
            <w:r>
              <w:rPr>
                <w:b/>
                <w:bCs/>
                <w:color w:val="1B2A4A"/>
                <w:sz w:val="17"/>
                <w:szCs w:val="17"/>
              </w:rPr>
              <w:t>5. Orchestrator Registration</w:t>
            </w:r>
          </w:p>
        </w:tc>
        <w:tc>
          <w:tcPr>
            <w:tcW w:w="3977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095DAC" w14:textId="77777777" w:rsidR="00D5649F" w:rsidRDefault="00710A25">
            <w:r>
              <w:rPr>
                <w:sz w:val="17"/>
                <w:szCs w:val="17"/>
              </w:rPr>
              <w:t>Register domain in orchestrator routing table.</w:t>
            </w:r>
          </w:p>
        </w:tc>
        <w:tc>
          <w:tcPr>
            <w:tcW w:w="4677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095DAD" w14:textId="77777777" w:rsidR="00D5649F" w:rsidRDefault="00710A25">
            <w:r>
              <w:rPr>
                <w:sz w:val="17"/>
                <w:szCs w:val="17"/>
              </w:rPr>
              <w:t>Domain authority matrix update.</w:t>
            </w:r>
          </w:p>
        </w:tc>
      </w:tr>
      <w:tr w:rsidR="00D5649F" w14:paraId="6A095DB2" w14:textId="77777777" w:rsidTr="00CD62CE">
        <w:tc>
          <w:tcPr>
            <w:tcW w:w="1268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095DAF" w14:textId="77777777" w:rsidR="00D5649F" w:rsidRDefault="00710A25">
            <w:r>
              <w:rPr>
                <w:b/>
                <w:bCs/>
                <w:color w:val="1B2A4A"/>
                <w:sz w:val="17"/>
                <w:szCs w:val="17"/>
              </w:rPr>
              <w:t>6. Validation</w:t>
            </w:r>
          </w:p>
        </w:tc>
        <w:tc>
          <w:tcPr>
            <w:tcW w:w="3977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095DB0" w14:textId="77777777" w:rsidR="00D5649F" w:rsidRDefault="00710A25">
            <w:r>
              <w:rPr>
                <w:sz w:val="17"/>
                <w:szCs w:val="17"/>
              </w:rPr>
              <w:t>Validate agent outputs against known test cases.</w:t>
            </w:r>
          </w:p>
        </w:tc>
        <w:tc>
          <w:tcPr>
            <w:tcW w:w="4677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095DB1" w14:textId="77777777" w:rsidR="00D5649F" w:rsidRDefault="00710A25">
            <w:r>
              <w:rPr>
                <w:sz w:val="17"/>
                <w:szCs w:val="17"/>
              </w:rPr>
              <w:t>Test pass and governance sign-off.</w:t>
            </w:r>
          </w:p>
        </w:tc>
      </w:tr>
    </w:tbl>
    <w:p w14:paraId="6A095DB3" w14:textId="77777777" w:rsidR="00D5649F" w:rsidRDefault="00D5649F">
      <w:pPr>
        <w:spacing w:before="80"/>
      </w:pPr>
    </w:p>
    <w:p w14:paraId="6A095DB4" w14:textId="77777777" w:rsidR="00D5649F" w:rsidRDefault="00710A25">
      <w:pPr>
        <w:pBdr>
          <w:bottom w:val="single" w:sz="6" w:space="0" w:color="1A6B6B"/>
        </w:pBdr>
        <w:spacing w:before="240" w:after="60"/>
      </w:pPr>
      <w:r>
        <w:rPr>
          <w:b/>
          <w:bCs/>
          <w:color w:val="1A6B6B"/>
          <w:sz w:val="20"/>
          <w:szCs w:val="20"/>
        </w:rPr>
        <w:t>6. Governance Model</w:t>
      </w:r>
    </w:p>
    <w:p w14:paraId="6A095DB5" w14:textId="77777777" w:rsidR="00D5649F" w:rsidRDefault="00710A25">
      <w:pPr>
        <w:spacing w:before="160" w:after="40"/>
      </w:pPr>
      <w:r>
        <w:rPr>
          <w:b/>
          <w:bCs/>
          <w:color w:val="1B2A4A"/>
        </w:rPr>
        <w:t>Output Governance</w:t>
      </w:r>
    </w:p>
    <w:p w14:paraId="6A095DB6" w14:textId="77777777" w:rsidR="00D5649F" w:rsidRDefault="00710A25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All outputs carry evidence classification</w:t>
      </w:r>
    </w:p>
    <w:p w14:paraId="6A095DB7" w14:textId="77777777" w:rsidR="00D5649F" w:rsidRDefault="00710A25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All outputs state confidence level</w:t>
      </w:r>
    </w:p>
    <w:p w14:paraId="6A095DB8" w14:textId="77777777" w:rsidR="00D5649F" w:rsidRDefault="00710A25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All outputs identify known unknowns</w:t>
      </w:r>
    </w:p>
    <w:p w14:paraId="6A095DB9" w14:textId="77777777" w:rsidR="00D5649F" w:rsidRDefault="00710A25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All outputs are audit-logged</w:t>
      </w:r>
    </w:p>
    <w:p w14:paraId="6A095DBA" w14:textId="77777777" w:rsidR="00D5649F" w:rsidRDefault="00D5649F">
      <w:pPr>
        <w:spacing w:before="40"/>
      </w:pPr>
    </w:p>
    <w:p w14:paraId="6A095DBB" w14:textId="77777777" w:rsidR="00D5649F" w:rsidRDefault="00710A25">
      <w:pPr>
        <w:spacing w:before="160" w:after="40"/>
      </w:pPr>
      <w:r>
        <w:rPr>
          <w:b/>
          <w:bCs/>
          <w:color w:val="1B2A4A"/>
        </w:rPr>
        <w:t>Action Governance</w:t>
      </w:r>
    </w:p>
    <w:p w14:paraId="6A095DBC" w14:textId="77777777" w:rsidR="00D5649F" w:rsidRDefault="00710A25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Tier 0 and 1 actions logged automatically</w:t>
      </w:r>
    </w:p>
    <w:p w14:paraId="6A095DBD" w14:textId="77777777" w:rsidR="00D5649F" w:rsidRDefault="00710A25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Tier 2 requires maintenance window, impact assessment, and rollback plan</w:t>
      </w:r>
    </w:p>
    <w:p w14:paraId="6A095DBE" w14:textId="77777777" w:rsidR="00D5649F" w:rsidRDefault="00710A25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Tier 3 requires CAB approval, backup validation, and explicit confirmation</w:t>
      </w:r>
    </w:p>
    <w:p w14:paraId="6A095DBF" w14:textId="77777777" w:rsidR="00D5649F" w:rsidRDefault="00D5649F">
      <w:pPr>
        <w:spacing w:before="40"/>
      </w:pPr>
    </w:p>
    <w:p w14:paraId="6A095DC0" w14:textId="77777777" w:rsidR="00D5649F" w:rsidRDefault="00710A25">
      <w:pPr>
        <w:spacing w:before="160" w:after="40"/>
      </w:pPr>
      <w:r>
        <w:rPr>
          <w:b/>
          <w:bCs/>
          <w:color w:val="1B2A4A"/>
        </w:rPr>
        <w:t>Escalation Governance</w:t>
      </w:r>
    </w:p>
    <w:p w14:paraId="6A095DC1" w14:textId="77777777" w:rsidR="00D5649F" w:rsidRDefault="00710A25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Legal, security, policy, and production-impact decisions require human escalation</w:t>
      </w:r>
    </w:p>
    <w:p w14:paraId="6A095DC2" w14:textId="77777777" w:rsidR="00D5649F" w:rsidRDefault="00710A25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Unresolved conflicts require human resolution before action is permitted</w:t>
      </w:r>
    </w:p>
    <w:p w14:paraId="6A095DC3" w14:textId="77777777" w:rsidR="00D5649F" w:rsidRDefault="00710A25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Low or Unknown confidence blocks all Tier 2 and Tier 3 actions</w:t>
      </w:r>
    </w:p>
    <w:p w14:paraId="6A095DC4" w14:textId="77777777" w:rsidR="00D5649F" w:rsidRDefault="00D5649F">
      <w:pPr>
        <w:spacing w:before="80"/>
      </w:pPr>
    </w:p>
    <w:p w14:paraId="6A095DC5" w14:textId="77777777" w:rsidR="00D5649F" w:rsidRDefault="00710A25">
      <w:pPr>
        <w:pBdr>
          <w:bottom w:val="single" w:sz="6" w:space="0" w:color="1A6B6B"/>
        </w:pBdr>
        <w:spacing w:before="240" w:after="60"/>
      </w:pPr>
      <w:r>
        <w:rPr>
          <w:b/>
          <w:bCs/>
          <w:color w:val="1A6B6B"/>
          <w:sz w:val="20"/>
          <w:szCs w:val="20"/>
        </w:rPr>
        <w:t>7. Reference Implementation</w:t>
      </w:r>
    </w:p>
    <w:p w14:paraId="6A095DC6" w14:textId="4972BC14" w:rsidR="00D5649F" w:rsidRDefault="00710A25">
      <w:pPr>
        <w:spacing w:before="60"/>
      </w:pPr>
      <w:r>
        <w:t xml:space="preserve">EAAP has one reference implementation: the </w:t>
      </w:r>
      <w:r w:rsidR="0029624F">
        <w:rPr>
          <w:lang w:val="en-GB"/>
        </w:rPr>
        <w:t>EAAP</w:t>
      </w:r>
      <w:r>
        <w:t xml:space="preserve"> Enterprise AI Platform. It demonstrates the full functional model in a production-grade, air-gapped deployment. The abstract functional model defined in this document is platform-neutral and independent of the reference implementation.</w:t>
      </w:r>
    </w:p>
    <w:p w14:paraId="6A095DC7" w14:textId="77777777" w:rsidR="00D5649F" w:rsidRDefault="00D5649F">
      <w:pPr>
        <w:spacing w:before="80"/>
      </w:pPr>
    </w:p>
    <w:p w14:paraId="6A095DC8" w14:textId="77777777" w:rsidR="00D5649F" w:rsidRDefault="00710A25">
      <w:pPr>
        <w:pBdr>
          <w:bottom w:val="single" w:sz="6" w:space="0" w:color="1A6B6B"/>
        </w:pBdr>
        <w:spacing w:before="240" w:after="60"/>
      </w:pPr>
      <w:r>
        <w:rPr>
          <w:b/>
          <w:bCs/>
          <w:color w:val="1A6B6B"/>
          <w:sz w:val="20"/>
          <w:szCs w:val="20"/>
        </w:rPr>
        <w:t>8. Risks and Assumptions</w:t>
      </w:r>
    </w:p>
    <w:p w14:paraId="6A095DC9" w14:textId="77777777" w:rsidR="00D5649F" w:rsidRDefault="00710A25">
      <w:pPr>
        <w:spacing w:before="160" w:after="40"/>
      </w:pPr>
      <w:r>
        <w:rPr>
          <w:b/>
          <w:bCs/>
          <w:color w:val="1B2A4A"/>
        </w:rPr>
        <w:t>Risks</w:t>
      </w:r>
    </w:p>
    <w:p w14:paraId="6A095DCA" w14:textId="77777777" w:rsidR="00D5649F" w:rsidRDefault="00710A25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Human validation dependency</w:t>
      </w:r>
      <w:r>
        <w:rPr>
          <w:sz w:val="18"/>
          <w:szCs w:val="18"/>
        </w:rPr>
        <w:t xml:space="preserve">  EAAP outputs require human review for high-risk actions.</w:t>
      </w:r>
    </w:p>
    <w:p w14:paraId="6A095DCB" w14:textId="77777777" w:rsidR="00D5649F" w:rsidRDefault="00710A25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Knowledge base completeness</w:t>
      </w:r>
      <w:r>
        <w:rPr>
          <w:sz w:val="18"/>
          <w:szCs w:val="18"/>
        </w:rPr>
        <w:t xml:space="preserve">  Agent output quality is bounded by knowledge base coverage.</w:t>
      </w:r>
    </w:p>
    <w:p w14:paraId="6A095DCC" w14:textId="77777777" w:rsidR="00D5649F" w:rsidRDefault="00710A25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Governance bypass</w:t>
      </w:r>
      <w:r>
        <w:rPr>
          <w:sz w:val="18"/>
          <w:szCs w:val="18"/>
        </w:rPr>
        <w:t xml:space="preserve">  Circumventing escalation gates reduces the governance model value.</w:t>
      </w:r>
    </w:p>
    <w:p w14:paraId="6A095DCD" w14:textId="77777777" w:rsidR="00D5649F" w:rsidRDefault="00D5649F">
      <w:pPr>
        <w:spacing w:before="40"/>
      </w:pPr>
    </w:p>
    <w:p w14:paraId="6A095DCE" w14:textId="77777777" w:rsidR="00D5649F" w:rsidRDefault="00710A25">
      <w:pPr>
        <w:spacing w:before="160" w:after="40"/>
      </w:pPr>
      <w:r>
        <w:rPr>
          <w:b/>
          <w:bCs/>
          <w:color w:val="1B2A4A"/>
        </w:rPr>
        <w:t>Assumptions</w:t>
      </w:r>
    </w:p>
    <w:p w14:paraId="6A095DCF" w14:textId="77777777" w:rsidR="00D5649F" w:rsidRDefault="00710A25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All domain agents conform to EAAP-ARCH-001.</w:t>
      </w:r>
    </w:p>
    <w:p w14:paraId="6A095DD0" w14:textId="77777777" w:rsidR="00D5649F" w:rsidRDefault="00710A25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The knowledge layer is maintained and version-controlled.</w:t>
      </w:r>
    </w:p>
    <w:p w14:paraId="6A095DD1" w14:textId="77777777" w:rsidR="00D5649F" w:rsidRDefault="00710A25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The Automation Gateway is operational with deny-by-default rules.</w:t>
      </w:r>
    </w:p>
    <w:p w14:paraId="6A095DD2" w14:textId="77777777" w:rsidR="00D5649F" w:rsidRDefault="00710A25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An ITSM system is available for Tier 2 and Tier 3 change management.</w:t>
      </w:r>
    </w:p>
    <w:p w14:paraId="6A095DD3" w14:textId="77777777" w:rsidR="00D5649F" w:rsidRDefault="00D5649F">
      <w:pPr>
        <w:spacing w:before="80"/>
      </w:pPr>
    </w:p>
    <w:p w14:paraId="6A095DD4" w14:textId="77777777" w:rsidR="00D5649F" w:rsidRDefault="00710A25">
      <w:pPr>
        <w:pBdr>
          <w:bottom w:val="single" w:sz="6" w:space="0" w:color="1A6B6B"/>
        </w:pBdr>
        <w:spacing w:before="240" w:after="60"/>
      </w:pPr>
      <w:r>
        <w:rPr>
          <w:b/>
          <w:bCs/>
          <w:color w:val="1A6B6B"/>
          <w:sz w:val="20"/>
          <w:szCs w:val="20"/>
        </w:rPr>
        <w:t>9. Conclusion</w:t>
      </w:r>
    </w:p>
    <w:p w14:paraId="6A095DD5" w14:textId="77777777" w:rsidR="00D5649F" w:rsidRDefault="00710A25">
      <w:pPr>
        <w:pBdr>
          <w:left w:val="single" w:sz="18" w:space="0" w:color="1A6B6B"/>
        </w:pBdr>
        <w:shd w:val="clear" w:color="auto" w:fill="E8F4F4"/>
        <w:spacing w:before="100" w:after="100"/>
        <w:ind w:left="180" w:right="120"/>
      </w:pPr>
      <w:r>
        <w:rPr>
          <w:i/>
          <w:iCs/>
          <w:color w:val="1A6B6B"/>
          <w:sz w:val="18"/>
          <w:szCs w:val="18"/>
        </w:rPr>
        <w:t>EAAP provides a governed, modular, and repeatable enterprise AI architecture pattern. The platform scales by domain addition, not by architectural change. New domains are added without modifying the orchestration or governance architecture.</w:t>
      </w:r>
    </w:p>
    <w:sectPr w:rsidR="00D5649F">
      <w:footerReference w:type="default" r:id="rId8"/>
      <w:pgSz w:w="11906" w:h="16838"/>
      <w:pgMar w:top="720" w:right="1000" w:bottom="9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DFFE0" w14:textId="77777777" w:rsidR="00A734D8" w:rsidRDefault="00A734D8">
      <w:r>
        <w:separator/>
      </w:r>
    </w:p>
  </w:endnote>
  <w:endnote w:type="continuationSeparator" w:id="0">
    <w:p w14:paraId="0766BF0F" w14:textId="77777777" w:rsidR="00A734D8" w:rsidRDefault="00A734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95DD6" w14:textId="3D581164" w:rsidR="00D5649F" w:rsidRDefault="00710A25">
    <w:pPr>
      <w:pBdr>
        <w:top w:val="single" w:sz="4" w:space="0" w:color="1A6B6B"/>
      </w:pBdr>
      <w:tabs>
        <w:tab w:val="right" w:pos="9026"/>
      </w:tabs>
      <w:spacing w:before="60"/>
    </w:pPr>
    <w:r>
      <w:rPr>
        <w:color w:val="666666"/>
        <w:sz w:val="14"/>
        <w:szCs w:val="14"/>
      </w:rPr>
      <w:t>EAAP | EAAP-ARCH-004  |  Controlled Release</w:t>
    </w:r>
    <w:r>
      <w:rPr>
        <w:sz w:val="14"/>
        <w:szCs w:val="14"/>
      </w:rPr>
      <w:tab/>
    </w:r>
    <w:r>
      <w:rPr>
        <w:color w:val="666666"/>
        <w:sz w:val="14"/>
        <w:szCs w:val="14"/>
      </w:rPr>
      <w:t>v1.0  | 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7C6C44" w14:textId="77777777" w:rsidR="00A734D8" w:rsidRDefault="00A734D8">
      <w:r>
        <w:separator/>
      </w:r>
    </w:p>
  </w:footnote>
  <w:footnote w:type="continuationSeparator" w:id="0">
    <w:p w14:paraId="7DB34E46" w14:textId="77777777" w:rsidR="00A734D8" w:rsidRDefault="00A734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94934"/>
    <w:multiLevelType w:val="hybridMultilevel"/>
    <w:tmpl w:val="1FB4B448"/>
    <w:lvl w:ilvl="0" w:tplc="C08C6844">
      <w:start w:val="1"/>
      <w:numFmt w:val="bullet"/>
      <w:lvlText w:val="▪"/>
      <w:lvlJc w:val="left"/>
      <w:pPr>
        <w:ind w:left="480" w:hanging="240"/>
      </w:pPr>
    </w:lvl>
    <w:lvl w:ilvl="1" w:tplc="54E2BB3E">
      <w:numFmt w:val="decimal"/>
      <w:lvlText w:val=""/>
      <w:lvlJc w:val="left"/>
    </w:lvl>
    <w:lvl w:ilvl="2" w:tplc="AECA0FB0">
      <w:numFmt w:val="decimal"/>
      <w:lvlText w:val=""/>
      <w:lvlJc w:val="left"/>
    </w:lvl>
    <w:lvl w:ilvl="3" w:tplc="0E88C57E">
      <w:numFmt w:val="decimal"/>
      <w:lvlText w:val=""/>
      <w:lvlJc w:val="left"/>
    </w:lvl>
    <w:lvl w:ilvl="4" w:tplc="2B2EE03C">
      <w:numFmt w:val="decimal"/>
      <w:lvlText w:val=""/>
      <w:lvlJc w:val="left"/>
    </w:lvl>
    <w:lvl w:ilvl="5" w:tplc="1060A1F2">
      <w:numFmt w:val="decimal"/>
      <w:lvlText w:val=""/>
      <w:lvlJc w:val="left"/>
    </w:lvl>
    <w:lvl w:ilvl="6" w:tplc="6DC81330">
      <w:numFmt w:val="decimal"/>
      <w:lvlText w:val=""/>
      <w:lvlJc w:val="left"/>
    </w:lvl>
    <w:lvl w:ilvl="7" w:tplc="983249F0">
      <w:numFmt w:val="decimal"/>
      <w:lvlText w:val=""/>
      <w:lvlJc w:val="left"/>
    </w:lvl>
    <w:lvl w:ilvl="8" w:tplc="0E1A4D70">
      <w:numFmt w:val="decimal"/>
      <w:lvlText w:val=""/>
      <w:lvlJc w:val="left"/>
    </w:lvl>
  </w:abstractNum>
  <w:abstractNum w:abstractNumId="1" w15:restartNumberingAfterBreak="0">
    <w:nsid w:val="04444DD0"/>
    <w:multiLevelType w:val="hybridMultilevel"/>
    <w:tmpl w:val="F82C3AC6"/>
    <w:lvl w:ilvl="0" w:tplc="2ED64AA4">
      <w:start w:val="1"/>
      <w:numFmt w:val="bullet"/>
      <w:lvlText w:val="●"/>
      <w:lvlJc w:val="left"/>
      <w:pPr>
        <w:ind w:left="720" w:hanging="360"/>
      </w:pPr>
    </w:lvl>
    <w:lvl w:ilvl="1" w:tplc="C41CF4D2">
      <w:start w:val="1"/>
      <w:numFmt w:val="bullet"/>
      <w:lvlText w:val="○"/>
      <w:lvlJc w:val="left"/>
      <w:pPr>
        <w:ind w:left="1440" w:hanging="360"/>
      </w:pPr>
    </w:lvl>
    <w:lvl w:ilvl="2" w:tplc="AD2E6800">
      <w:start w:val="1"/>
      <w:numFmt w:val="bullet"/>
      <w:lvlText w:val="■"/>
      <w:lvlJc w:val="left"/>
      <w:pPr>
        <w:ind w:left="2160" w:hanging="360"/>
      </w:pPr>
    </w:lvl>
    <w:lvl w:ilvl="3" w:tplc="3468CDB6">
      <w:start w:val="1"/>
      <w:numFmt w:val="bullet"/>
      <w:lvlText w:val="●"/>
      <w:lvlJc w:val="left"/>
      <w:pPr>
        <w:ind w:left="2880" w:hanging="360"/>
      </w:pPr>
    </w:lvl>
    <w:lvl w:ilvl="4" w:tplc="4F3C0C52">
      <w:start w:val="1"/>
      <w:numFmt w:val="bullet"/>
      <w:lvlText w:val="○"/>
      <w:lvlJc w:val="left"/>
      <w:pPr>
        <w:ind w:left="3600" w:hanging="360"/>
      </w:pPr>
    </w:lvl>
    <w:lvl w:ilvl="5" w:tplc="ED600E2E">
      <w:start w:val="1"/>
      <w:numFmt w:val="bullet"/>
      <w:lvlText w:val="■"/>
      <w:lvlJc w:val="left"/>
      <w:pPr>
        <w:ind w:left="4320" w:hanging="360"/>
      </w:pPr>
    </w:lvl>
    <w:lvl w:ilvl="6" w:tplc="74CAF6B8">
      <w:start w:val="1"/>
      <w:numFmt w:val="bullet"/>
      <w:lvlText w:val="●"/>
      <w:lvlJc w:val="left"/>
      <w:pPr>
        <w:ind w:left="5040" w:hanging="360"/>
      </w:pPr>
    </w:lvl>
    <w:lvl w:ilvl="7" w:tplc="9B2EAF92">
      <w:start w:val="1"/>
      <w:numFmt w:val="bullet"/>
      <w:lvlText w:val="●"/>
      <w:lvlJc w:val="left"/>
      <w:pPr>
        <w:ind w:left="5760" w:hanging="360"/>
      </w:pPr>
    </w:lvl>
    <w:lvl w:ilvl="8" w:tplc="0518ABAE">
      <w:start w:val="1"/>
      <w:numFmt w:val="bullet"/>
      <w:lvlText w:val="●"/>
      <w:lvlJc w:val="left"/>
      <w:pPr>
        <w:ind w:left="6480" w:hanging="360"/>
      </w:pPr>
    </w:lvl>
  </w:abstractNum>
  <w:num w:numId="1" w16cid:durableId="1065496684">
    <w:abstractNumId w:val="1"/>
    <w:lvlOverride w:ilvl="0">
      <w:startOverride w:val="1"/>
    </w:lvlOverride>
  </w:num>
  <w:num w:numId="2" w16cid:durableId="833824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649F"/>
    <w:rsid w:val="001E4554"/>
    <w:rsid w:val="0029624F"/>
    <w:rsid w:val="003063AA"/>
    <w:rsid w:val="00545F10"/>
    <w:rsid w:val="0058682B"/>
    <w:rsid w:val="00710A25"/>
    <w:rsid w:val="0093552D"/>
    <w:rsid w:val="00A734D8"/>
    <w:rsid w:val="00CD62CE"/>
    <w:rsid w:val="00D56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95D12"/>
  <w15:docId w15:val="{FD29B105-B5D3-4097-83F1-BB4E84A99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sz w:val="19"/>
        <w:szCs w:val="19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8682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9624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624F"/>
  </w:style>
  <w:style w:type="paragraph" w:styleId="Footer">
    <w:name w:val="footer"/>
    <w:basedOn w:val="Normal"/>
    <w:link w:val="FooterChar"/>
    <w:uiPriority w:val="99"/>
    <w:unhideWhenUsed/>
    <w:rsid w:val="0029624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62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research@johngoulden.d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699</Words>
  <Characters>4787</Characters>
  <Application>Microsoft Office Word</Application>
  <DocSecurity>0</DocSecurity>
  <Lines>206</Lines>
  <Paragraphs>141</Paragraphs>
  <ScaleCrop>false</ScaleCrop>
  <Company/>
  <LinksUpToDate>false</LinksUpToDate>
  <CharactersWithSpaces>5362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John Goulden</cp:lastModifiedBy>
  <cp:revision>4</cp:revision>
  <dcterms:created xsi:type="dcterms:W3CDTF">2026-04-23T08:19:00Z</dcterms:created>
  <dcterms:modified xsi:type="dcterms:W3CDTF">2026-05-11T07:23:00Z</dcterms:modified>
</cp:coreProperties>
</file>