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F7C72" w14:textId="77777777" w:rsidR="00CF2859" w:rsidRPr="00AE18A7" w:rsidRDefault="00AE3F9E">
      <w:pPr>
        <w:jc w:val="center"/>
        <w:rPr>
          <w:rFonts w:ascii="Calibri" w:hAnsi="Calibri" w:cs="Calibri"/>
        </w:rPr>
      </w:pPr>
      <w:r w:rsidRPr="00AE18A7">
        <w:rPr>
          <w:rFonts w:ascii="Calibri" w:hAnsi="Calibri" w:cs="Calibri"/>
          <w:b/>
          <w:bCs/>
          <w:color w:val="000000"/>
          <w:sz w:val="28"/>
          <w:szCs w:val="28"/>
        </w:rPr>
        <w:t>EAAP-LGF: A Governance Architecture for AI</w:t>
      </w:r>
    </w:p>
    <w:p w14:paraId="28EF7C73" w14:textId="77777777" w:rsidR="00CF2859" w:rsidRPr="00AE18A7" w:rsidRDefault="00AE3F9E">
      <w:pPr>
        <w:spacing w:before="20"/>
        <w:jc w:val="center"/>
        <w:rPr>
          <w:rFonts w:ascii="Calibri" w:hAnsi="Calibri" w:cs="Calibri"/>
        </w:rPr>
      </w:pPr>
      <w:r w:rsidRPr="00AE18A7">
        <w:rPr>
          <w:rFonts w:ascii="Calibri" w:hAnsi="Calibri" w:cs="Calibri"/>
          <w:b/>
          <w:bCs/>
          <w:color w:val="000000"/>
          <w:sz w:val="28"/>
          <w:szCs w:val="28"/>
        </w:rPr>
        <w:t>in Lethal Decision Support Systems</w:t>
      </w:r>
    </w:p>
    <w:p w14:paraId="28EF7C74" w14:textId="77777777" w:rsidR="00CF2859" w:rsidRPr="00AE18A7" w:rsidRDefault="00CF2859">
      <w:pPr>
        <w:spacing w:before="80"/>
        <w:rPr>
          <w:rFonts w:ascii="Calibri" w:hAnsi="Calibri" w:cs="Calibri"/>
        </w:rPr>
      </w:pPr>
    </w:p>
    <w:p w14:paraId="28EF7C75" w14:textId="77777777" w:rsidR="00CF2859" w:rsidRPr="00AE18A7" w:rsidRDefault="00AE3F9E">
      <w:pPr>
        <w:jc w:val="center"/>
        <w:rPr>
          <w:rFonts w:ascii="Calibri" w:hAnsi="Calibri" w:cs="Calibri"/>
        </w:rPr>
      </w:pPr>
      <w:r w:rsidRPr="00AE18A7">
        <w:rPr>
          <w:rFonts w:ascii="Calibri" w:hAnsi="Calibri" w:cs="Calibri"/>
          <w:b/>
          <w:bCs/>
          <w:sz w:val="22"/>
          <w:szCs w:val="22"/>
        </w:rPr>
        <w:t>John Goulden</w:t>
      </w:r>
    </w:p>
    <w:p w14:paraId="28EF7C76" w14:textId="77777777" w:rsidR="00CF2859" w:rsidRPr="00AE18A7" w:rsidRDefault="00AE3F9E">
      <w:pPr>
        <w:spacing w:before="20"/>
        <w:jc w:val="center"/>
        <w:rPr>
          <w:rFonts w:ascii="Calibri" w:hAnsi="Calibri" w:cs="Calibri"/>
        </w:rPr>
      </w:pPr>
      <w:r w:rsidRPr="00AE18A7">
        <w:rPr>
          <w:rFonts w:ascii="Calibri" w:hAnsi="Calibri" w:cs="Calibri"/>
          <w:i/>
          <w:iCs/>
          <w:color w:val="444444"/>
          <w:sz w:val="19"/>
          <w:szCs w:val="19"/>
        </w:rPr>
        <w:t>Independent Researcher</w:t>
      </w:r>
    </w:p>
    <w:p w14:paraId="28EF7C77" w14:textId="6F8BEFBF" w:rsidR="00CF2859" w:rsidRPr="00AE18A7" w:rsidRDefault="00D06CB6">
      <w:pPr>
        <w:spacing w:before="10"/>
        <w:jc w:val="center"/>
        <w:rPr>
          <w:rFonts w:ascii="Calibri" w:hAnsi="Calibri" w:cs="Calibri"/>
          <w:lang w:val="en-GB"/>
        </w:rPr>
      </w:pPr>
      <w:hyperlink r:id="rId8" w:history="1">
        <w:r w:rsidRPr="00AE18A7">
          <w:rPr>
            <w:rStyle w:val="Hyperlink"/>
            <w:rFonts w:ascii="Calibri" w:hAnsi="Calibri" w:cs="Calibri"/>
            <w:sz w:val="19"/>
            <w:szCs w:val="19"/>
            <w:lang w:val="en-GB"/>
          </w:rPr>
          <w:t>research</w:t>
        </w:r>
        <w:r w:rsidRPr="00AE18A7">
          <w:rPr>
            <w:rStyle w:val="Hyperlink"/>
            <w:rFonts w:ascii="Calibri" w:hAnsi="Calibri" w:cs="Calibri"/>
            <w:sz w:val="19"/>
            <w:szCs w:val="19"/>
          </w:rPr>
          <w:t>@johngoulden.de</w:t>
        </w:r>
      </w:hyperlink>
      <w:r w:rsidRPr="00AE18A7">
        <w:rPr>
          <w:rFonts w:ascii="Calibri" w:hAnsi="Calibri" w:cs="Calibri"/>
          <w:color w:val="444444"/>
          <w:sz w:val="19"/>
          <w:szCs w:val="19"/>
          <w:lang w:val="en-GB"/>
        </w:rPr>
        <w:t xml:space="preserve"> </w:t>
      </w:r>
    </w:p>
    <w:p w14:paraId="28EF7C78" w14:textId="77777777" w:rsidR="00CF2859" w:rsidRPr="00AE18A7" w:rsidRDefault="00AE3F9E">
      <w:pPr>
        <w:spacing w:before="10"/>
        <w:jc w:val="center"/>
        <w:rPr>
          <w:rFonts w:ascii="Calibri" w:hAnsi="Calibri" w:cs="Calibri"/>
        </w:rPr>
      </w:pPr>
      <w:r w:rsidRPr="00AE18A7">
        <w:rPr>
          <w:rFonts w:ascii="Calibri" w:hAnsi="Calibri" w:cs="Calibri"/>
          <w:color w:val="444444"/>
          <w:sz w:val="19"/>
          <w:szCs w:val="19"/>
        </w:rPr>
        <w:t>ORCID: 0009-0000-5626-6535</w:t>
      </w:r>
    </w:p>
    <w:p w14:paraId="28EF7C79" w14:textId="7CFF328C" w:rsidR="00CF2859" w:rsidRPr="00AE18A7" w:rsidRDefault="00AE3F9E">
      <w:pPr>
        <w:spacing w:before="10"/>
        <w:jc w:val="center"/>
        <w:rPr>
          <w:rFonts w:ascii="Calibri" w:hAnsi="Calibri" w:cs="Calibri"/>
        </w:rPr>
      </w:pPr>
      <w:r w:rsidRPr="00AE18A7">
        <w:rPr>
          <w:rFonts w:ascii="Calibri" w:hAnsi="Calibri" w:cs="Calibri"/>
          <w:color w:val="444444"/>
          <w:sz w:val="19"/>
          <w:szCs w:val="19"/>
        </w:rPr>
        <w:t>Germany · April 2026</w:t>
      </w:r>
    </w:p>
    <w:p w14:paraId="28EF7C7A" w14:textId="77777777" w:rsidR="00CF2859" w:rsidRPr="00AE18A7" w:rsidRDefault="00CF2859">
      <w:pPr>
        <w:spacing w:before="80"/>
        <w:rPr>
          <w:rFonts w:ascii="Calibri" w:hAnsi="Calibri" w:cs="Calibri"/>
        </w:rPr>
      </w:pPr>
    </w:p>
    <w:p w14:paraId="28EF7C7B" w14:textId="77777777" w:rsidR="00CF2859" w:rsidRPr="00AE18A7" w:rsidRDefault="00CF2859">
      <w:pPr>
        <w:pBdr>
          <w:bottom w:val="single" w:sz="3" w:space="0" w:color="1A1A1A"/>
        </w:pBdr>
        <w:spacing w:after="120"/>
        <w:rPr>
          <w:rFonts w:ascii="Calibri" w:hAnsi="Calibri" w:cs="Calibri"/>
        </w:rPr>
      </w:pPr>
    </w:p>
    <w:p w14:paraId="28EF7C7C" w14:textId="77777777" w:rsidR="00CF2859" w:rsidRPr="00AE18A7" w:rsidRDefault="00CF2859">
      <w:pPr>
        <w:spacing w:before="40"/>
        <w:rPr>
          <w:rFonts w:ascii="Calibri" w:hAnsi="Calibri" w:cs="Calibri"/>
        </w:rPr>
      </w:pPr>
    </w:p>
    <w:p w14:paraId="28EF7C7D" w14:textId="77777777" w:rsidR="00CF2859" w:rsidRPr="00AE18A7" w:rsidRDefault="00AE3F9E">
      <w:pPr>
        <w:spacing w:after="60"/>
        <w:jc w:val="center"/>
        <w:rPr>
          <w:rFonts w:ascii="Calibri" w:hAnsi="Calibri" w:cs="Calibri"/>
        </w:rPr>
      </w:pPr>
      <w:r w:rsidRPr="00AE18A7">
        <w:rPr>
          <w:rFonts w:ascii="Calibri" w:hAnsi="Calibri" w:cs="Calibri"/>
          <w:b/>
          <w:bCs/>
        </w:rPr>
        <w:t>Abstract</w:t>
      </w:r>
    </w:p>
    <w:p w14:paraId="28EF7C7E" w14:textId="35B4F388" w:rsidR="00CF2859" w:rsidRPr="00AE18A7" w:rsidRDefault="00AE3F9E">
      <w:pPr>
        <w:spacing w:line="260" w:lineRule="auto"/>
        <w:ind w:left="560" w:right="560"/>
        <w:rPr>
          <w:rFonts w:ascii="Calibri" w:hAnsi="Calibri" w:cs="Calibri"/>
        </w:rPr>
      </w:pPr>
      <w:r w:rsidRPr="00AE18A7">
        <w:rPr>
          <w:rFonts w:ascii="Calibri" w:hAnsi="Calibri" w:cs="Calibri"/>
        </w:rPr>
        <w:t>AI systems are increasingly used in roles adjacent to targeting and lethal decision support. Publicly described programmes have raised governance questions that cannot be resolved by model capability alone. This paper identifies five structural governance gaps: the absence of a non-overridable prohibition layer, the absence of evidence classification, the absence of calibrated confidence thresholds with hard blocks, insufficient human authorisation structure, and inadequate post-action accountability mechanisms. It presents the Enterprise AI Architecture Pattern Lethal Systems Governance Framework (EAAP-LGF), a six-layer sequential gate architecture derived from enterprise AI governance principles and adapted to the lethal systems domain. The framework defines meaningful human control as an enforceable governance architecture in which lethal force cannot be authorised without evidence classification, calibrated confidence assessment, independent legal review, multi-authoriser approval, and immutable auditability. EAAP-LGF specifies a deterministic Prohibition Layer grounded in international humanitarian law (IHL), a four-component Compound Assessment Gate, a calibrated confidence model with a categorical prohibition on algorithm-only target identification, a multi-authoriser Human Authorisation Layer, anti-automation-bias interface requirements, and mandatory post-action accountability. The paper also states the framework's limits and identifies areas requiring further legal, technical, and human-factors development.</w:t>
      </w:r>
    </w:p>
    <w:p w14:paraId="28EF7C7F" w14:textId="77777777" w:rsidR="00CF2859" w:rsidRPr="00AE18A7" w:rsidRDefault="00CF2859">
      <w:pPr>
        <w:spacing w:before="40"/>
        <w:rPr>
          <w:rFonts w:ascii="Calibri" w:hAnsi="Calibri" w:cs="Calibri"/>
        </w:rPr>
      </w:pPr>
    </w:p>
    <w:p w14:paraId="28EF7C80" w14:textId="77777777" w:rsidR="00CF2859" w:rsidRPr="00AE18A7" w:rsidRDefault="00AE3F9E">
      <w:pPr>
        <w:spacing w:line="260" w:lineRule="auto"/>
        <w:ind w:left="560" w:right="560"/>
        <w:rPr>
          <w:rFonts w:ascii="Calibri" w:hAnsi="Calibri" w:cs="Calibri"/>
        </w:rPr>
      </w:pPr>
      <w:r w:rsidRPr="00AE18A7">
        <w:rPr>
          <w:rFonts w:ascii="Calibri" w:hAnsi="Calibri" w:cs="Calibri"/>
          <w:b/>
          <w:bCs/>
          <w:sz w:val="18"/>
          <w:szCs w:val="18"/>
        </w:rPr>
        <w:t xml:space="preserve">Keywords: </w:t>
      </w:r>
      <w:r w:rsidRPr="00AE18A7">
        <w:rPr>
          <w:rFonts w:ascii="Calibri" w:hAnsi="Calibri" w:cs="Calibri"/>
          <w:i/>
          <w:iCs/>
          <w:color w:val="444444"/>
          <w:sz w:val="18"/>
          <w:szCs w:val="18"/>
        </w:rPr>
        <w:t>AI governance, lethal autonomous weapons, meaningful human control, international humanitarian law, IHL, targeting, LAWS, Project Maven, evidence classification, human-in-the-loop, prohibition layer, accountability, CCW GGE, Additional Protocol I</w:t>
      </w:r>
    </w:p>
    <w:p w14:paraId="28EF7C81" w14:textId="77777777" w:rsidR="00CF2859" w:rsidRPr="00AE18A7" w:rsidRDefault="00CF2859">
      <w:pPr>
        <w:spacing w:before="40"/>
        <w:rPr>
          <w:rFonts w:ascii="Calibri" w:hAnsi="Calibri" w:cs="Calibri"/>
        </w:rPr>
      </w:pPr>
    </w:p>
    <w:p w14:paraId="28EF7C82" w14:textId="77777777" w:rsidR="00CF2859" w:rsidRPr="00AE18A7" w:rsidRDefault="00CF2859">
      <w:pPr>
        <w:pBdr>
          <w:bottom w:val="single" w:sz="3" w:space="0" w:color="1A1A1A"/>
        </w:pBdr>
        <w:spacing w:after="120"/>
        <w:rPr>
          <w:rFonts w:ascii="Calibri" w:hAnsi="Calibri" w:cs="Calibri"/>
        </w:rPr>
      </w:pPr>
    </w:p>
    <w:p w14:paraId="28EF7C83" w14:textId="77777777" w:rsidR="00CF2859" w:rsidRPr="00AE18A7" w:rsidRDefault="00CF2859">
      <w:pPr>
        <w:spacing w:before="80"/>
        <w:rPr>
          <w:rFonts w:ascii="Calibri" w:hAnsi="Calibri" w:cs="Calibri"/>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CF2859" w:rsidRPr="00AE18A7" w14:paraId="28EF7C85" w14:textId="77777777">
        <w:tc>
          <w:tcPr>
            <w:tcW w:w="0" w:type="auto"/>
            <w:tcBorders>
              <w:top w:val="single" w:sz="1" w:space="0" w:color="D4A017"/>
              <w:left w:val="single" w:sz="1" w:space="0" w:color="D4A017"/>
              <w:bottom w:val="single" w:sz="1" w:space="0" w:color="D4A017"/>
              <w:right w:val="single" w:sz="1" w:space="0" w:color="D4A017"/>
            </w:tcBorders>
            <w:shd w:val="clear" w:color="auto" w:fill="FEF9EC"/>
            <w:tcMar>
              <w:top w:w="100" w:type="dxa"/>
              <w:left w:w="160" w:type="dxa"/>
              <w:bottom w:w="100" w:type="dxa"/>
              <w:right w:w="160" w:type="dxa"/>
            </w:tcMar>
          </w:tcPr>
          <w:p w14:paraId="28EF7C84" w14:textId="36A3E294" w:rsidR="00CF2859" w:rsidRPr="00AE18A7" w:rsidRDefault="00AE3F9E">
            <w:pPr>
              <w:spacing w:line="276" w:lineRule="auto"/>
              <w:rPr>
                <w:rFonts w:ascii="Calibri" w:hAnsi="Calibri" w:cs="Calibri"/>
              </w:rPr>
            </w:pPr>
            <w:r w:rsidRPr="00AE18A7">
              <w:rPr>
                <w:rFonts w:ascii="Calibri" w:hAnsi="Calibri" w:cs="Calibri"/>
                <w:i/>
                <w:iCs/>
                <w:color w:val="5C4000"/>
                <w:sz w:val="19"/>
                <w:szCs w:val="19"/>
              </w:rPr>
              <w:t>Authorship and intent notice. This paper is a governance constraint framework. It argues for more constraint on AI in lethal systems, not less. The author's position is that this framework is designed to constrain AI involvement, maximise human oversight, and ensure accountability</w:t>
            </w:r>
            <w:r w:rsidR="001E1246" w:rsidRPr="00AE18A7">
              <w:rPr>
                <w:rFonts w:ascii="Calibri" w:hAnsi="Calibri" w:cs="Calibri"/>
                <w:i/>
                <w:iCs/>
                <w:color w:val="5C4000"/>
                <w:sz w:val="19"/>
                <w:szCs w:val="19"/>
                <w:lang w:val="en-GB"/>
              </w:rPr>
              <w:t>,</w:t>
            </w:r>
            <w:r w:rsidRPr="00AE18A7">
              <w:rPr>
                <w:rFonts w:ascii="Calibri" w:hAnsi="Calibri" w:cs="Calibri"/>
                <w:i/>
                <w:iCs/>
                <w:color w:val="5C4000"/>
                <w:sz w:val="19"/>
                <w:szCs w:val="19"/>
              </w:rPr>
              <w:t xml:space="preserve"> not to legitimise autonomous lethal AI systems. The paper is not a weapons development document, a military procurement specification, or an endorsement of any specific programme.</w:t>
            </w:r>
          </w:p>
        </w:tc>
      </w:tr>
    </w:tbl>
    <w:p w14:paraId="28EF7C86" w14:textId="77777777" w:rsidR="00CF2859" w:rsidRPr="00AE18A7" w:rsidRDefault="00CF2859">
      <w:pPr>
        <w:spacing w:before="80"/>
        <w:rPr>
          <w:rFonts w:ascii="Calibri" w:hAnsi="Calibri" w:cs="Calibri"/>
        </w:rPr>
      </w:pPr>
    </w:p>
    <w:p w14:paraId="24FA6721" w14:textId="77777777" w:rsidR="00BD0737" w:rsidRPr="00AE18A7" w:rsidRDefault="00BD0737">
      <w:pPr>
        <w:spacing w:after="60"/>
        <w:rPr>
          <w:rFonts w:ascii="Calibri" w:hAnsi="Calibri" w:cs="Calibri"/>
          <w:b/>
          <w:bCs/>
          <w:sz w:val="22"/>
          <w:szCs w:val="22"/>
          <w:lang w:val="en-GB"/>
        </w:rPr>
      </w:pPr>
    </w:p>
    <w:p w14:paraId="5018867A" w14:textId="77777777" w:rsidR="00BD0737" w:rsidRPr="00AE18A7" w:rsidRDefault="00BD0737">
      <w:pPr>
        <w:spacing w:after="60"/>
        <w:rPr>
          <w:rFonts w:ascii="Calibri" w:hAnsi="Calibri" w:cs="Calibri"/>
          <w:b/>
          <w:bCs/>
          <w:sz w:val="22"/>
          <w:szCs w:val="22"/>
          <w:lang w:val="en-GB"/>
        </w:rPr>
      </w:pPr>
    </w:p>
    <w:p w14:paraId="0E9A4FAE" w14:textId="77777777" w:rsidR="00BD0737" w:rsidRPr="00AE18A7" w:rsidRDefault="00BD0737">
      <w:pPr>
        <w:spacing w:after="60"/>
        <w:rPr>
          <w:rFonts w:ascii="Calibri" w:hAnsi="Calibri" w:cs="Calibri"/>
          <w:b/>
          <w:bCs/>
          <w:sz w:val="22"/>
          <w:szCs w:val="22"/>
          <w:lang w:val="en-GB"/>
        </w:rPr>
      </w:pPr>
    </w:p>
    <w:p w14:paraId="0DF6C84B" w14:textId="77777777" w:rsidR="00BD0737" w:rsidRPr="00AE18A7" w:rsidRDefault="00BD0737">
      <w:pPr>
        <w:spacing w:after="60"/>
        <w:rPr>
          <w:rFonts w:ascii="Calibri" w:hAnsi="Calibri" w:cs="Calibri"/>
          <w:b/>
          <w:bCs/>
          <w:sz w:val="22"/>
          <w:szCs w:val="22"/>
          <w:lang w:val="en-GB"/>
        </w:rPr>
      </w:pPr>
    </w:p>
    <w:p w14:paraId="631C0966" w14:textId="77777777" w:rsidR="00BD0737" w:rsidRPr="00AE18A7" w:rsidRDefault="00BD0737">
      <w:pPr>
        <w:spacing w:after="60"/>
        <w:rPr>
          <w:rFonts w:ascii="Calibri" w:hAnsi="Calibri" w:cs="Calibri"/>
          <w:b/>
          <w:bCs/>
          <w:sz w:val="22"/>
          <w:szCs w:val="22"/>
          <w:lang w:val="en-GB"/>
        </w:rPr>
      </w:pPr>
    </w:p>
    <w:p w14:paraId="60DB7728" w14:textId="77777777" w:rsidR="00BD0737" w:rsidRPr="00AE18A7" w:rsidRDefault="00BD0737">
      <w:pPr>
        <w:spacing w:after="60"/>
        <w:rPr>
          <w:rFonts w:ascii="Calibri" w:hAnsi="Calibri" w:cs="Calibri"/>
          <w:b/>
          <w:bCs/>
          <w:sz w:val="22"/>
          <w:szCs w:val="22"/>
          <w:lang w:val="en-GB"/>
        </w:rPr>
      </w:pPr>
    </w:p>
    <w:p w14:paraId="1C56B0D8" w14:textId="77777777" w:rsidR="00BD0737" w:rsidRPr="00AE18A7" w:rsidRDefault="00BD0737">
      <w:pPr>
        <w:spacing w:after="60"/>
        <w:rPr>
          <w:rFonts w:ascii="Calibri" w:hAnsi="Calibri" w:cs="Calibri"/>
          <w:b/>
          <w:bCs/>
          <w:sz w:val="22"/>
          <w:szCs w:val="22"/>
          <w:lang w:val="en-GB"/>
        </w:rPr>
      </w:pPr>
    </w:p>
    <w:p w14:paraId="3FB3DD6F" w14:textId="77777777" w:rsidR="00BD0737" w:rsidRPr="00AE18A7" w:rsidRDefault="00BD0737">
      <w:pPr>
        <w:spacing w:after="60"/>
        <w:rPr>
          <w:rFonts w:ascii="Calibri" w:hAnsi="Calibri" w:cs="Calibri"/>
          <w:b/>
          <w:bCs/>
          <w:sz w:val="22"/>
          <w:szCs w:val="22"/>
          <w:lang w:val="en-GB"/>
        </w:rPr>
      </w:pPr>
    </w:p>
    <w:p w14:paraId="05A418AB" w14:textId="77777777" w:rsidR="00BD0737" w:rsidRPr="00AE18A7" w:rsidRDefault="00BD0737">
      <w:pPr>
        <w:spacing w:after="60"/>
        <w:rPr>
          <w:rFonts w:ascii="Calibri" w:hAnsi="Calibri" w:cs="Calibri"/>
          <w:b/>
          <w:bCs/>
          <w:sz w:val="22"/>
          <w:szCs w:val="22"/>
          <w:lang w:val="en-GB"/>
        </w:rPr>
      </w:pPr>
    </w:p>
    <w:sdt>
      <w:sdtPr>
        <w:rPr>
          <w:rFonts w:ascii="Calibri" w:eastAsia="Times New Roman" w:hAnsi="Calibri" w:cs="Calibri"/>
          <w:color w:val="1A1A1A"/>
          <w:sz w:val="20"/>
          <w:szCs w:val="20"/>
          <w:lang/>
        </w:rPr>
        <w:id w:val="1444723529"/>
        <w:docPartObj>
          <w:docPartGallery w:val="Table of Contents"/>
          <w:docPartUnique/>
        </w:docPartObj>
      </w:sdtPr>
      <w:sdtEndPr>
        <w:rPr>
          <w:b/>
          <w:bCs/>
          <w:noProof/>
        </w:rPr>
      </w:sdtEndPr>
      <w:sdtContent>
        <w:p w14:paraId="4B01A02F" w14:textId="4030CBFC" w:rsidR="00BD0737" w:rsidRPr="00AE18A7" w:rsidRDefault="00BD0737">
          <w:pPr>
            <w:pStyle w:val="TOCHeading"/>
            <w:rPr>
              <w:rFonts w:ascii="Calibri" w:hAnsi="Calibri" w:cs="Calibri"/>
              <w:b/>
              <w:bCs/>
              <w:color w:val="auto"/>
            </w:rPr>
          </w:pPr>
          <w:r w:rsidRPr="00AE18A7">
            <w:rPr>
              <w:rFonts w:ascii="Calibri" w:hAnsi="Calibri" w:cs="Calibri"/>
              <w:b/>
              <w:bCs/>
              <w:color w:val="auto"/>
            </w:rPr>
            <w:t>Table of Contents</w:t>
          </w:r>
        </w:p>
        <w:p w14:paraId="0DDD236E" w14:textId="0E8676A4" w:rsidR="00AE18A7" w:rsidRPr="00AE18A7" w:rsidRDefault="00BD0737">
          <w:pPr>
            <w:pStyle w:val="TOC1"/>
            <w:tabs>
              <w:tab w:val="right" w:leader="dot" w:pos="9628"/>
            </w:tabs>
            <w:rPr>
              <w:rFonts w:ascii="Calibri" w:eastAsiaTheme="minorEastAsia" w:hAnsi="Calibri" w:cs="Calibri"/>
              <w:noProof/>
              <w:color w:val="auto"/>
              <w:kern w:val="2"/>
              <w:sz w:val="24"/>
              <w:szCs w:val="24"/>
              <w14:ligatures w14:val="standardContextual"/>
            </w:rPr>
          </w:pPr>
          <w:r w:rsidRPr="00AE18A7">
            <w:rPr>
              <w:rFonts w:ascii="Calibri" w:hAnsi="Calibri" w:cs="Calibri"/>
            </w:rPr>
            <w:fldChar w:fldCharType="begin"/>
          </w:r>
          <w:r w:rsidRPr="00AE18A7">
            <w:rPr>
              <w:rFonts w:ascii="Calibri" w:hAnsi="Calibri" w:cs="Calibri"/>
            </w:rPr>
            <w:instrText xml:space="preserve"> TOC \o "1-3" \h \z \u </w:instrText>
          </w:r>
          <w:r w:rsidRPr="00AE18A7">
            <w:rPr>
              <w:rFonts w:ascii="Calibri" w:hAnsi="Calibri" w:cs="Calibri"/>
            </w:rPr>
            <w:fldChar w:fldCharType="separate"/>
          </w:r>
          <w:hyperlink w:anchor="_Toc229741665" w:history="1">
            <w:r w:rsidR="00AE18A7" w:rsidRPr="00AE18A7">
              <w:rPr>
                <w:rStyle w:val="Hyperlink"/>
                <w:rFonts w:ascii="Calibri" w:hAnsi="Calibri" w:cs="Calibri"/>
                <w:noProof/>
              </w:rPr>
              <w:t>1. Introduction</w:t>
            </w:r>
            <w:r w:rsidR="00AE18A7" w:rsidRPr="00AE18A7">
              <w:rPr>
                <w:rFonts w:ascii="Calibri" w:hAnsi="Calibri" w:cs="Calibri"/>
                <w:noProof/>
                <w:webHidden/>
              </w:rPr>
              <w:tab/>
            </w:r>
            <w:r w:rsidR="00AE18A7" w:rsidRPr="00AE18A7">
              <w:rPr>
                <w:rFonts w:ascii="Calibri" w:hAnsi="Calibri" w:cs="Calibri"/>
                <w:noProof/>
                <w:webHidden/>
              </w:rPr>
              <w:fldChar w:fldCharType="begin"/>
            </w:r>
            <w:r w:rsidR="00AE18A7" w:rsidRPr="00AE18A7">
              <w:rPr>
                <w:rFonts w:ascii="Calibri" w:hAnsi="Calibri" w:cs="Calibri"/>
                <w:noProof/>
                <w:webHidden/>
              </w:rPr>
              <w:instrText xml:space="preserve"> PAGEREF _Toc229741665 \h </w:instrText>
            </w:r>
            <w:r w:rsidR="00AE18A7" w:rsidRPr="00AE18A7">
              <w:rPr>
                <w:rFonts w:ascii="Calibri" w:hAnsi="Calibri" w:cs="Calibri"/>
                <w:noProof/>
                <w:webHidden/>
              </w:rPr>
            </w:r>
            <w:r w:rsidR="00AE18A7" w:rsidRPr="00AE18A7">
              <w:rPr>
                <w:rFonts w:ascii="Calibri" w:hAnsi="Calibri" w:cs="Calibri"/>
                <w:noProof/>
                <w:webHidden/>
              </w:rPr>
              <w:fldChar w:fldCharType="separate"/>
            </w:r>
            <w:r w:rsidR="00AE18A7" w:rsidRPr="00AE18A7">
              <w:rPr>
                <w:rFonts w:ascii="Calibri" w:hAnsi="Calibri" w:cs="Calibri"/>
                <w:noProof/>
                <w:webHidden/>
              </w:rPr>
              <w:t>3</w:t>
            </w:r>
            <w:r w:rsidR="00AE18A7" w:rsidRPr="00AE18A7">
              <w:rPr>
                <w:rFonts w:ascii="Calibri" w:hAnsi="Calibri" w:cs="Calibri"/>
                <w:noProof/>
                <w:webHidden/>
              </w:rPr>
              <w:fldChar w:fldCharType="end"/>
            </w:r>
          </w:hyperlink>
        </w:p>
        <w:p w14:paraId="77A4FC50" w14:textId="39A2FB6D" w:rsidR="00AE18A7" w:rsidRPr="00AE18A7" w:rsidRDefault="00AE18A7">
          <w:pPr>
            <w:pStyle w:val="TOC2"/>
            <w:tabs>
              <w:tab w:val="right" w:leader="dot" w:pos="9628"/>
            </w:tabs>
            <w:rPr>
              <w:rFonts w:ascii="Calibri" w:eastAsiaTheme="minorEastAsia" w:hAnsi="Calibri" w:cs="Calibri"/>
              <w:noProof/>
              <w:color w:val="auto"/>
              <w:kern w:val="2"/>
              <w:sz w:val="24"/>
              <w:szCs w:val="24"/>
              <w14:ligatures w14:val="standardContextual"/>
            </w:rPr>
          </w:pPr>
          <w:hyperlink w:anchor="_Toc229741666" w:history="1">
            <w:r w:rsidRPr="00AE18A7">
              <w:rPr>
                <w:rStyle w:val="Hyperlink"/>
                <w:rFonts w:ascii="Calibri" w:hAnsi="Calibri" w:cs="Calibri"/>
                <w:noProof/>
              </w:rPr>
              <w:t>1.1 Authorship and Intent</w:t>
            </w:r>
            <w:r w:rsidRPr="00AE18A7">
              <w:rPr>
                <w:rFonts w:ascii="Calibri" w:hAnsi="Calibri" w:cs="Calibri"/>
                <w:noProof/>
                <w:webHidden/>
              </w:rPr>
              <w:tab/>
            </w:r>
            <w:r w:rsidRPr="00AE18A7">
              <w:rPr>
                <w:rFonts w:ascii="Calibri" w:hAnsi="Calibri" w:cs="Calibri"/>
                <w:noProof/>
                <w:webHidden/>
              </w:rPr>
              <w:fldChar w:fldCharType="begin"/>
            </w:r>
            <w:r w:rsidRPr="00AE18A7">
              <w:rPr>
                <w:rFonts w:ascii="Calibri" w:hAnsi="Calibri" w:cs="Calibri"/>
                <w:noProof/>
                <w:webHidden/>
              </w:rPr>
              <w:instrText xml:space="preserve"> PAGEREF _Toc229741666 \h </w:instrText>
            </w:r>
            <w:r w:rsidRPr="00AE18A7">
              <w:rPr>
                <w:rFonts w:ascii="Calibri" w:hAnsi="Calibri" w:cs="Calibri"/>
                <w:noProof/>
                <w:webHidden/>
              </w:rPr>
            </w:r>
            <w:r w:rsidRPr="00AE18A7">
              <w:rPr>
                <w:rFonts w:ascii="Calibri" w:hAnsi="Calibri" w:cs="Calibri"/>
                <w:noProof/>
                <w:webHidden/>
              </w:rPr>
              <w:fldChar w:fldCharType="separate"/>
            </w:r>
            <w:r w:rsidRPr="00AE18A7">
              <w:rPr>
                <w:rFonts w:ascii="Calibri" w:hAnsi="Calibri" w:cs="Calibri"/>
                <w:noProof/>
                <w:webHidden/>
              </w:rPr>
              <w:t>3</w:t>
            </w:r>
            <w:r w:rsidRPr="00AE18A7">
              <w:rPr>
                <w:rFonts w:ascii="Calibri" w:hAnsi="Calibri" w:cs="Calibri"/>
                <w:noProof/>
                <w:webHidden/>
              </w:rPr>
              <w:fldChar w:fldCharType="end"/>
            </w:r>
          </w:hyperlink>
        </w:p>
        <w:p w14:paraId="0F708299" w14:textId="23BB3791" w:rsidR="00AE18A7" w:rsidRPr="00AE18A7" w:rsidRDefault="00AE18A7">
          <w:pPr>
            <w:pStyle w:val="TOC1"/>
            <w:tabs>
              <w:tab w:val="right" w:leader="dot" w:pos="9628"/>
            </w:tabs>
            <w:rPr>
              <w:rFonts w:ascii="Calibri" w:eastAsiaTheme="minorEastAsia" w:hAnsi="Calibri" w:cs="Calibri"/>
              <w:noProof/>
              <w:color w:val="auto"/>
              <w:kern w:val="2"/>
              <w:sz w:val="24"/>
              <w:szCs w:val="24"/>
              <w14:ligatures w14:val="standardContextual"/>
            </w:rPr>
          </w:pPr>
          <w:hyperlink w:anchor="_Toc229741667" w:history="1">
            <w:r w:rsidRPr="00AE18A7">
              <w:rPr>
                <w:rStyle w:val="Hyperlink"/>
                <w:rFonts w:ascii="Calibri" w:hAnsi="Calibri" w:cs="Calibri"/>
                <w:noProof/>
              </w:rPr>
              <w:t>2. Background and Related Work</w:t>
            </w:r>
            <w:r w:rsidRPr="00AE18A7">
              <w:rPr>
                <w:rFonts w:ascii="Calibri" w:hAnsi="Calibri" w:cs="Calibri"/>
                <w:noProof/>
                <w:webHidden/>
              </w:rPr>
              <w:tab/>
            </w:r>
            <w:r w:rsidRPr="00AE18A7">
              <w:rPr>
                <w:rFonts w:ascii="Calibri" w:hAnsi="Calibri" w:cs="Calibri"/>
                <w:noProof/>
                <w:webHidden/>
              </w:rPr>
              <w:fldChar w:fldCharType="begin"/>
            </w:r>
            <w:r w:rsidRPr="00AE18A7">
              <w:rPr>
                <w:rFonts w:ascii="Calibri" w:hAnsi="Calibri" w:cs="Calibri"/>
                <w:noProof/>
                <w:webHidden/>
              </w:rPr>
              <w:instrText xml:space="preserve"> PAGEREF _Toc229741667 \h </w:instrText>
            </w:r>
            <w:r w:rsidRPr="00AE18A7">
              <w:rPr>
                <w:rFonts w:ascii="Calibri" w:hAnsi="Calibri" w:cs="Calibri"/>
                <w:noProof/>
                <w:webHidden/>
              </w:rPr>
            </w:r>
            <w:r w:rsidRPr="00AE18A7">
              <w:rPr>
                <w:rFonts w:ascii="Calibri" w:hAnsi="Calibri" w:cs="Calibri"/>
                <w:noProof/>
                <w:webHidden/>
              </w:rPr>
              <w:fldChar w:fldCharType="separate"/>
            </w:r>
            <w:r w:rsidRPr="00AE18A7">
              <w:rPr>
                <w:rFonts w:ascii="Calibri" w:hAnsi="Calibri" w:cs="Calibri"/>
                <w:noProof/>
                <w:webHidden/>
              </w:rPr>
              <w:t>3</w:t>
            </w:r>
            <w:r w:rsidRPr="00AE18A7">
              <w:rPr>
                <w:rFonts w:ascii="Calibri" w:hAnsi="Calibri" w:cs="Calibri"/>
                <w:noProof/>
                <w:webHidden/>
              </w:rPr>
              <w:fldChar w:fldCharType="end"/>
            </w:r>
          </w:hyperlink>
        </w:p>
        <w:p w14:paraId="6A4EF308" w14:textId="656FE193" w:rsidR="00AE18A7" w:rsidRPr="00AE18A7" w:rsidRDefault="00AE18A7">
          <w:pPr>
            <w:pStyle w:val="TOC2"/>
            <w:tabs>
              <w:tab w:val="right" w:leader="dot" w:pos="9628"/>
            </w:tabs>
            <w:rPr>
              <w:rFonts w:ascii="Calibri" w:eastAsiaTheme="minorEastAsia" w:hAnsi="Calibri" w:cs="Calibri"/>
              <w:noProof/>
              <w:color w:val="auto"/>
              <w:kern w:val="2"/>
              <w:sz w:val="24"/>
              <w:szCs w:val="24"/>
              <w14:ligatures w14:val="standardContextual"/>
            </w:rPr>
          </w:pPr>
          <w:hyperlink w:anchor="_Toc229741668" w:history="1">
            <w:r w:rsidRPr="00AE18A7">
              <w:rPr>
                <w:rStyle w:val="Hyperlink"/>
                <w:rFonts w:ascii="Calibri" w:hAnsi="Calibri" w:cs="Calibri"/>
                <w:noProof/>
              </w:rPr>
              <w:t>2.1 International Frameworks on LAWS</w:t>
            </w:r>
            <w:r w:rsidRPr="00AE18A7">
              <w:rPr>
                <w:rFonts w:ascii="Calibri" w:hAnsi="Calibri" w:cs="Calibri"/>
                <w:noProof/>
                <w:webHidden/>
              </w:rPr>
              <w:tab/>
            </w:r>
            <w:r w:rsidRPr="00AE18A7">
              <w:rPr>
                <w:rFonts w:ascii="Calibri" w:hAnsi="Calibri" w:cs="Calibri"/>
                <w:noProof/>
                <w:webHidden/>
              </w:rPr>
              <w:fldChar w:fldCharType="begin"/>
            </w:r>
            <w:r w:rsidRPr="00AE18A7">
              <w:rPr>
                <w:rFonts w:ascii="Calibri" w:hAnsi="Calibri" w:cs="Calibri"/>
                <w:noProof/>
                <w:webHidden/>
              </w:rPr>
              <w:instrText xml:space="preserve"> PAGEREF _Toc229741668 \h </w:instrText>
            </w:r>
            <w:r w:rsidRPr="00AE18A7">
              <w:rPr>
                <w:rFonts w:ascii="Calibri" w:hAnsi="Calibri" w:cs="Calibri"/>
                <w:noProof/>
                <w:webHidden/>
              </w:rPr>
            </w:r>
            <w:r w:rsidRPr="00AE18A7">
              <w:rPr>
                <w:rFonts w:ascii="Calibri" w:hAnsi="Calibri" w:cs="Calibri"/>
                <w:noProof/>
                <w:webHidden/>
              </w:rPr>
              <w:fldChar w:fldCharType="separate"/>
            </w:r>
            <w:r w:rsidRPr="00AE18A7">
              <w:rPr>
                <w:rFonts w:ascii="Calibri" w:hAnsi="Calibri" w:cs="Calibri"/>
                <w:noProof/>
                <w:webHidden/>
              </w:rPr>
              <w:t>3</w:t>
            </w:r>
            <w:r w:rsidRPr="00AE18A7">
              <w:rPr>
                <w:rFonts w:ascii="Calibri" w:hAnsi="Calibri" w:cs="Calibri"/>
                <w:noProof/>
                <w:webHidden/>
              </w:rPr>
              <w:fldChar w:fldCharType="end"/>
            </w:r>
          </w:hyperlink>
        </w:p>
        <w:p w14:paraId="71CE76BC" w14:textId="435B6855" w:rsidR="00AE18A7" w:rsidRPr="00AE18A7" w:rsidRDefault="00AE18A7">
          <w:pPr>
            <w:pStyle w:val="TOC2"/>
            <w:tabs>
              <w:tab w:val="right" w:leader="dot" w:pos="9628"/>
            </w:tabs>
            <w:rPr>
              <w:rFonts w:ascii="Calibri" w:eastAsiaTheme="minorEastAsia" w:hAnsi="Calibri" w:cs="Calibri"/>
              <w:noProof/>
              <w:color w:val="auto"/>
              <w:kern w:val="2"/>
              <w:sz w:val="24"/>
              <w:szCs w:val="24"/>
              <w14:ligatures w14:val="standardContextual"/>
            </w:rPr>
          </w:pPr>
          <w:hyperlink w:anchor="_Toc229741669" w:history="1">
            <w:r w:rsidRPr="00AE18A7">
              <w:rPr>
                <w:rStyle w:val="Hyperlink"/>
                <w:rFonts w:ascii="Calibri" w:hAnsi="Calibri" w:cs="Calibri"/>
                <w:noProof/>
              </w:rPr>
              <w:t>2.2 Existing AI Governance Frameworks</w:t>
            </w:r>
            <w:r w:rsidRPr="00AE18A7">
              <w:rPr>
                <w:rFonts w:ascii="Calibri" w:hAnsi="Calibri" w:cs="Calibri"/>
                <w:noProof/>
                <w:webHidden/>
              </w:rPr>
              <w:tab/>
            </w:r>
            <w:r w:rsidRPr="00AE18A7">
              <w:rPr>
                <w:rFonts w:ascii="Calibri" w:hAnsi="Calibri" w:cs="Calibri"/>
                <w:noProof/>
                <w:webHidden/>
              </w:rPr>
              <w:fldChar w:fldCharType="begin"/>
            </w:r>
            <w:r w:rsidRPr="00AE18A7">
              <w:rPr>
                <w:rFonts w:ascii="Calibri" w:hAnsi="Calibri" w:cs="Calibri"/>
                <w:noProof/>
                <w:webHidden/>
              </w:rPr>
              <w:instrText xml:space="preserve"> PAGEREF _Toc229741669 \h </w:instrText>
            </w:r>
            <w:r w:rsidRPr="00AE18A7">
              <w:rPr>
                <w:rFonts w:ascii="Calibri" w:hAnsi="Calibri" w:cs="Calibri"/>
                <w:noProof/>
                <w:webHidden/>
              </w:rPr>
            </w:r>
            <w:r w:rsidRPr="00AE18A7">
              <w:rPr>
                <w:rFonts w:ascii="Calibri" w:hAnsi="Calibri" w:cs="Calibri"/>
                <w:noProof/>
                <w:webHidden/>
              </w:rPr>
              <w:fldChar w:fldCharType="separate"/>
            </w:r>
            <w:r w:rsidRPr="00AE18A7">
              <w:rPr>
                <w:rFonts w:ascii="Calibri" w:hAnsi="Calibri" w:cs="Calibri"/>
                <w:noProof/>
                <w:webHidden/>
              </w:rPr>
              <w:t>4</w:t>
            </w:r>
            <w:r w:rsidRPr="00AE18A7">
              <w:rPr>
                <w:rFonts w:ascii="Calibri" w:hAnsi="Calibri" w:cs="Calibri"/>
                <w:noProof/>
                <w:webHidden/>
              </w:rPr>
              <w:fldChar w:fldCharType="end"/>
            </w:r>
          </w:hyperlink>
        </w:p>
        <w:p w14:paraId="18ADFBAB" w14:textId="336A6B5E" w:rsidR="00AE18A7" w:rsidRPr="00AE18A7" w:rsidRDefault="00AE18A7">
          <w:pPr>
            <w:pStyle w:val="TOC2"/>
            <w:tabs>
              <w:tab w:val="right" w:leader="dot" w:pos="9628"/>
            </w:tabs>
            <w:rPr>
              <w:rFonts w:ascii="Calibri" w:eastAsiaTheme="minorEastAsia" w:hAnsi="Calibri" w:cs="Calibri"/>
              <w:noProof/>
              <w:color w:val="auto"/>
              <w:kern w:val="2"/>
              <w:sz w:val="24"/>
              <w:szCs w:val="24"/>
              <w14:ligatures w14:val="standardContextual"/>
            </w:rPr>
          </w:pPr>
          <w:hyperlink w:anchor="_Toc229741670" w:history="1">
            <w:r w:rsidRPr="00AE18A7">
              <w:rPr>
                <w:rStyle w:val="Hyperlink"/>
                <w:rFonts w:ascii="Calibri" w:hAnsi="Calibri" w:cs="Calibri"/>
                <w:noProof/>
              </w:rPr>
              <w:t>2.3 Project Maven and the Governance Question</w:t>
            </w:r>
            <w:r w:rsidRPr="00AE18A7">
              <w:rPr>
                <w:rFonts w:ascii="Calibri" w:hAnsi="Calibri" w:cs="Calibri"/>
                <w:noProof/>
                <w:webHidden/>
              </w:rPr>
              <w:tab/>
            </w:r>
            <w:r w:rsidRPr="00AE18A7">
              <w:rPr>
                <w:rFonts w:ascii="Calibri" w:hAnsi="Calibri" w:cs="Calibri"/>
                <w:noProof/>
                <w:webHidden/>
              </w:rPr>
              <w:fldChar w:fldCharType="begin"/>
            </w:r>
            <w:r w:rsidRPr="00AE18A7">
              <w:rPr>
                <w:rFonts w:ascii="Calibri" w:hAnsi="Calibri" w:cs="Calibri"/>
                <w:noProof/>
                <w:webHidden/>
              </w:rPr>
              <w:instrText xml:space="preserve"> PAGEREF _Toc229741670 \h </w:instrText>
            </w:r>
            <w:r w:rsidRPr="00AE18A7">
              <w:rPr>
                <w:rFonts w:ascii="Calibri" w:hAnsi="Calibri" w:cs="Calibri"/>
                <w:noProof/>
                <w:webHidden/>
              </w:rPr>
            </w:r>
            <w:r w:rsidRPr="00AE18A7">
              <w:rPr>
                <w:rFonts w:ascii="Calibri" w:hAnsi="Calibri" w:cs="Calibri"/>
                <w:noProof/>
                <w:webHidden/>
              </w:rPr>
              <w:fldChar w:fldCharType="separate"/>
            </w:r>
            <w:r w:rsidRPr="00AE18A7">
              <w:rPr>
                <w:rFonts w:ascii="Calibri" w:hAnsi="Calibri" w:cs="Calibri"/>
                <w:noProof/>
                <w:webHidden/>
              </w:rPr>
              <w:t>4</w:t>
            </w:r>
            <w:r w:rsidRPr="00AE18A7">
              <w:rPr>
                <w:rFonts w:ascii="Calibri" w:hAnsi="Calibri" w:cs="Calibri"/>
                <w:noProof/>
                <w:webHidden/>
              </w:rPr>
              <w:fldChar w:fldCharType="end"/>
            </w:r>
          </w:hyperlink>
        </w:p>
        <w:p w14:paraId="659C7BDA" w14:textId="33D541B1" w:rsidR="00AE18A7" w:rsidRPr="00AE18A7" w:rsidRDefault="00AE18A7">
          <w:pPr>
            <w:pStyle w:val="TOC2"/>
            <w:tabs>
              <w:tab w:val="right" w:leader="dot" w:pos="9628"/>
            </w:tabs>
            <w:rPr>
              <w:rFonts w:ascii="Calibri" w:eastAsiaTheme="minorEastAsia" w:hAnsi="Calibri" w:cs="Calibri"/>
              <w:noProof/>
              <w:color w:val="auto"/>
              <w:kern w:val="2"/>
              <w:sz w:val="24"/>
              <w:szCs w:val="24"/>
              <w14:ligatures w14:val="standardContextual"/>
            </w:rPr>
          </w:pPr>
          <w:hyperlink w:anchor="_Toc229741671" w:history="1">
            <w:r w:rsidRPr="00AE18A7">
              <w:rPr>
                <w:rStyle w:val="Hyperlink"/>
                <w:rFonts w:ascii="Calibri" w:hAnsi="Calibri" w:cs="Calibri"/>
                <w:noProof/>
              </w:rPr>
              <w:t>2.4 Technical Work on AI Targeting</w:t>
            </w:r>
            <w:r w:rsidRPr="00AE18A7">
              <w:rPr>
                <w:rFonts w:ascii="Calibri" w:hAnsi="Calibri" w:cs="Calibri"/>
                <w:noProof/>
                <w:webHidden/>
              </w:rPr>
              <w:tab/>
            </w:r>
            <w:r w:rsidRPr="00AE18A7">
              <w:rPr>
                <w:rFonts w:ascii="Calibri" w:hAnsi="Calibri" w:cs="Calibri"/>
                <w:noProof/>
                <w:webHidden/>
              </w:rPr>
              <w:fldChar w:fldCharType="begin"/>
            </w:r>
            <w:r w:rsidRPr="00AE18A7">
              <w:rPr>
                <w:rFonts w:ascii="Calibri" w:hAnsi="Calibri" w:cs="Calibri"/>
                <w:noProof/>
                <w:webHidden/>
              </w:rPr>
              <w:instrText xml:space="preserve"> PAGEREF _Toc229741671 \h </w:instrText>
            </w:r>
            <w:r w:rsidRPr="00AE18A7">
              <w:rPr>
                <w:rFonts w:ascii="Calibri" w:hAnsi="Calibri" w:cs="Calibri"/>
                <w:noProof/>
                <w:webHidden/>
              </w:rPr>
            </w:r>
            <w:r w:rsidRPr="00AE18A7">
              <w:rPr>
                <w:rFonts w:ascii="Calibri" w:hAnsi="Calibri" w:cs="Calibri"/>
                <w:noProof/>
                <w:webHidden/>
              </w:rPr>
              <w:fldChar w:fldCharType="separate"/>
            </w:r>
            <w:r w:rsidRPr="00AE18A7">
              <w:rPr>
                <w:rFonts w:ascii="Calibri" w:hAnsi="Calibri" w:cs="Calibri"/>
                <w:noProof/>
                <w:webHidden/>
              </w:rPr>
              <w:t>5</w:t>
            </w:r>
            <w:r w:rsidRPr="00AE18A7">
              <w:rPr>
                <w:rFonts w:ascii="Calibri" w:hAnsi="Calibri" w:cs="Calibri"/>
                <w:noProof/>
                <w:webHidden/>
              </w:rPr>
              <w:fldChar w:fldCharType="end"/>
            </w:r>
          </w:hyperlink>
        </w:p>
        <w:p w14:paraId="3F4844E5" w14:textId="72C2631C" w:rsidR="00AE18A7" w:rsidRPr="00AE18A7" w:rsidRDefault="00AE18A7">
          <w:pPr>
            <w:pStyle w:val="TOC1"/>
            <w:tabs>
              <w:tab w:val="right" w:leader="dot" w:pos="9628"/>
            </w:tabs>
            <w:rPr>
              <w:rFonts w:ascii="Calibri" w:eastAsiaTheme="minorEastAsia" w:hAnsi="Calibri" w:cs="Calibri"/>
              <w:noProof/>
              <w:color w:val="auto"/>
              <w:kern w:val="2"/>
              <w:sz w:val="24"/>
              <w:szCs w:val="24"/>
              <w14:ligatures w14:val="standardContextual"/>
            </w:rPr>
          </w:pPr>
          <w:hyperlink w:anchor="_Toc229741672" w:history="1">
            <w:r w:rsidRPr="00AE18A7">
              <w:rPr>
                <w:rStyle w:val="Hyperlink"/>
                <w:rFonts w:ascii="Calibri" w:hAnsi="Calibri" w:cs="Calibri"/>
                <w:noProof/>
              </w:rPr>
              <w:t>3. The Five Structural Gaps</w:t>
            </w:r>
            <w:r w:rsidRPr="00AE18A7">
              <w:rPr>
                <w:rFonts w:ascii="Calibri" w:hAnsi="Calibri" w:cs="Calibri"/>
                <w:noProof/>
                <w:webHidden/>
              </w:rPr>
              <w:tab/>
            </w:r>
            <w:r w:rsidRPr="00AE18A7">
              <w:rPr>
                <w:rFonts w:ascii="Calibri" w:hAnsi="Calibri" w:cs="Calibri"/>
                <w:noProof/>
                <w:webHidden/>
              </w:rPr>
              <w:fldChar w:fldCharType="begin"/>
            </w:r>
            <w:r w:rsidRPr="00AE18A7">
              <w:rPr>
                <w:rFonts w:ascii="Calibri" w:hAnsi="Calibri" w:cs="Calibri"/>
                <w:noProof/>
                <w:webHidden/>
              </w:rPr>
              <w:instrText xml:space="preserve"> PAGEREF _Toc229741672 \h </w:instrText>
            </w:r>
            <w:r w:rsidRPr="00AE18A7">
              <w:rPr>
                <w:rFonts w:ascii="Calibri" w:hAnsi="Calibri" w:cs="Calibri"/>
                <w:noProof/>
                <w:webHidden/>
              </w:rPr>
            </w:r>
            <w:r w:rsidRPr="00AE18A7">
              <w:rPr>
                <w:rFonts w:ascii="Calibri" w:hAnsi="Calibri" w:cs="Calibri"/>
                <w:noProof/>
                <w:webHidden/>
              </w:rPr>
              <w:fldChar w:fldCharType="separate"/>
            </w:r>
            <w:r w:rsidRPr="00AE18A7">
              <w:rPr>
                <w:rFonts w:ascii="Calibri" w:hAnsi="Calibri" w:cs="Calibri"/>
                <w:noProof/>
                <w:webHidden/>
              </w:rPr>
              <w:t>5</w:t>
            </w:r>
            <w:r w:rsidRPr="00AE18A7">
              <w:rPr>
                <w:rFonts w:ascii="Calibri" w:hAnsi="Calibri" w:cs="Calibri"/>
                <w:noProof/>
                <w:webHidden/>
              </w:rPr>
              <w:fldChar w:fldCharType="end"/>
            </w:r>
          </w:hyperlink>
        </w:p>
        <w:p w14:paraId="5287D1D8" w14:textId="773B281A" w:rsidR="00AE18A7" w:rsidRPr="00AE18A7" w:rsidRDefault="00AE18A7">
          <w:pPr>
            <w:pStyle w:val="TOC1"/>
            <w:tabs>
              <w:tab w:val="right" w:leader="dot" w:pos="9628"/>
            </w:tabs>
            <w:rPr>
              <w:rFonts w:ascii="Calibri" w:eastAsiaTheme="minorEastAsia" w:hAnsi="Calibri" w:cs="Calibri"/>
              <w:noProof/>
              <w:color w:val="auto"/>
              <w:kern w:val="2"/>
              <w:sz w:val="24"/>
              <w:szCs w:val="24"/>
              <w14:ligatures w14:val="standardContextual"/>
            </w:rPr>
          </w:pPr>
          <w:hyperlink w:anchor="_Toc229741673" w:history="1">
            <w:r w:rsidRPr="00AE18A7">
              <w:rPr>
                <w:rStyle w:val="Hyperlink"/>
                <w:rFonts w:ascii="Calibri" w:hAnsi="Calibri" w:cs="Calibri"/>
                <w:noProof/>
              </w:rPr>
              <w:t>4. EAAP-LGF Architecture Overview</w:t>
            </w:r>
            <w:r w:rsidRPr="00AE18A7">
              <w:rPr>
                <w:rFonts w:ascii="Calibri" w:hAnsi="Calibri" w:cs="Calibri"/>
                <w:noProof/>
                <w:webHidden/>
              </w:rPr>
              <w:tab/>
            </w:r>
            <w:r w:rsidRPr="00AE18A7">
              <w:rPr>
                <w:rFonts w:ascii="Calibri" w:hAnsi="Calibri" w:cs="Calibri"/>
                <w:noProof/>
                <w:webHidden/>
              </w:rPr>
              <w:fldChar w:fldCharType="begin"/>
            </w:r>
            <w:r w:rsidRPr="00AE18A7">
              <w:rPr>
                <w:rFonts w:ascii="Calibri" w:hAnsi="Calibri" w:cs="Calibri"/>
                <w:noProof/>
                <w:webHidden/>
              </w:rPr>
              <w:instrText xml:space="preserve"> PAGEREF _Toc229741673 \h </w:instrText>
            </w:r>
            <w:r w:rsidRPr="00AE18A7">
              <w:rPr>
                <w:rFonts w:ascii="Calibri" w:hAnsi="Calibri" w:cs="Calibri"/>
                <w:noProof/>
                <w:webHidden/>
              </w:rPr>
            </w:r>
            <w:r w:rsidRPr="00AE18A7">
              <w:rPr>
                <w:rFonts w:ascii="Calibri" w:hAnsi="Calibri" w:cs="Calibri"/>
                <w:noProof/>
                <w:webHidden/>
              </w:rPr>
              <w:fldChar w:fldCharType="separate"/>
            </w:r>
            <w:r w:rsidRPr="00AE18A7">
              <w:rPr>
                <w:rFonts w:ascii="Calibri" w:hAnsi="Calibri" w:cs="Calibri"/>
                <w:noProof/>
                <w:webHidden/>
              </w:rPr>
              <w:t>5</w:t>
            </w:r>
            <w:r w:rsidRPr="00AE18A7">
              <w:rPr>
                <w:rFonts w:ascii="Calibri" w:hAnsi="Calibri" w:cs="Calibri"/>
                <w:noProof/>
                <w:webHidden/>
              </w:rPr>
              <w:fldChar w:fldCharType="end"/>
            </w:r>
          </w:hyperlink>
        </w:p>
        <w:p w14:paraId="3F8A1E57" w14:textId="15695DCF" w:rsidR="00AE18A7" w:rsidRPr="00AE18A7" w:rsidRDefault="00AE18A7">
          <w:pPr>
            <w:pStyle w:val="TOC2"/>
            <w:tabs>
              <w:tab w:val="right" w:leader="dot" w:pos="9628"/>
            </w:tabs>
            <w:rPr>
              <w:rFonts w:ascii="Calibri" w:eastAsiaTheme="minorEastAsia" w:hAnsi="Calibri" w:cs="Calibri"/>
              <w:noProof/>
              <w:color w:val="auto"/>
              <w:kern w:val="2"/>
              <w:sz w:val="24"/>
              <w:szCs w:val="24"/>
              <w14:ligatures w14:val="standardContextual"/>
            </w:rPr>
          </w:pPr>
          <w:hyperlink w:anchor="_Toc229741674" w:history="1">
            <w:r w:rsidRPr="00AE18A7">
              <w:rPr>
                <w:rStyle w:val="Hyperlink"/>
                <w:rFonts w:ascii="Calibri" w:hAnsi="Calibri" w:cs="Calibri"/>
                <w:noProof/>
              </w:rPr>
              <w:t>4.1 Design Principles</w:t>
            </w:r>
            <w:r w:rsidRPr="00AE18A7">
              <w:rPr>
                <w:rFonts w:ascii="Calibri" w:hAnsi="Calibri" w:cs="Calibri"/>
                <w:noProof/>
                <w:webHidden/>
              </w:rPr>
              <w:tab/>
            </w:r>
            <w:r w:rsidRPr="00AE18A7">
              <w:rPr>
                <w:rFonts w:ascii="Calibri" w:hAnsi="Calibri" w:cs="Calibri"/>
                <w:noProof/>
                <w:webHidden/>
              </w:rPr>
              <w:fldChar w:fldCharType="begin"/>
            </w:r>
            <w:r w:rsidRPr="00AE18A7">
              <w:rPr>
                <w:rFonts w:ascii="Calibri" w:hAnsi="Calibri" w:cs="Calibri"/>
                <w:noProof/>
                <w:webHidden/>
              </w:rPr>
              <w:instrText xml:space="preserve"> PAGEREF _Toc229741674 \h </w:instrText>
            </w:r>
            <w:r w:rsidRPr="00AE18A7">
              <w:rPr>
                <w:rFonts w:ascii="Calibri" w:hAnsi="Calibri" w:cs="Calibri"/>
                <w:noProof/>
                <w:webHidden/>
              </w:rPr>
            </w:r>
            <w:r w:rsidRPr="00AE18A7">
              <w:rPr>
                <w:rFonts w:ascii="Calibri" w:hAnsi="Calibri" w:cs="Calibri"/>
                <w:noProof/>
                <w:webHidden/>
              </w:rPr>
              <w:fldChar w:fldCharType="separate"/>
            </w:r>
            <w:r w:rsidRPr="00AE18A7">
              <w:rPr>
                <w:rFonts w:ascii="Calibri" w:hAnsi="Calibri" w:cs="Calibri"/>
                <w:noProof/>
                <w:webHidden/>
              </w:rPr>
              <w:t>5</w:t>
            </w:r>
            <w:r w:rsidRPr="00AE18A7">
              <w:rPr>
                <w:rFonts w:ascii="Calibri" w:hAnsi="Calibri" w:cs="Calibri"/>
                <w:noProof/>
                <w:webHidden/>
              </w:rPr>
              <w:fldChar w:fldCharType="end"/>
            </w:r>
          </w:hyperlink>
        </w:p>
        <w:p w14:paraId="30BAC566" w14:textId="75622881" w:rsidR="00AE18A7" w:rsidRPr="00AE18A7" w:rsidRDefault="00AE18A7">
          <w:pPr>
            <w:pStyle w:val="TOC2"/>
            <w:tabs>
              <w:tab w:val="right" w:leader="dot" w:pos="9628"/>
            </w:tabs>
            <w:rPr>
              <w:rFonts w:ascii="Calibri" w:eastAsiaTheme="minorEastAsia" w:hAnsi="Calibri" w:cs="Calibri"/>
              <w:noProof/>
              <w:color w:val="auto"/>
              <w:kern w:val="2"/>
              <w:sz w:val="24"/>
              <w:szCs w:val="24"/>
              <w14:ligatures w14:val="standardContextual"/>
            </w:rPr>
          </w:pPr>
          <w:hyperlink w:anchor="_Toc229741675" w:history="1">
            <w:r w:rsidRPr="00AE18A7">
              <w:rPr>
                <w:rStyle w:val="Hyperlink"/>
                <w:rFonts w:ascii="Calibri" w:hAnsi="Calibri" w:cs="Calibri"/>
                <w:noProof/>
              </w:rPr>
              <w:t>4.2 The Six-Layer Model</w:t>
            </w:r>
            <w:r w:rsidRPr="00AE18A7">
              <w:rPr>
                <w:rFonts w:ascii="Calibri" w:hAnsi="Calibri" w:cs="Calibri"/>
                <w:noProof/>
                <w:webHidden/>
              </w:rPr>
              <w:tab/>
            </w:r>
            <w:r w:rsidRPr="00AE18A7">
              <w:rPr>
                <w:rFonts w:ascii="Calibri" w:hAnsi="Calibri" w:cs="Calibri"/>
                <w:noProof/>
                <w:webHidden/>
              </w:rPr>
              <w:fldChar w:fldCharType="begin"/>
            </w:r>
            <w:r w:rsidRPr="00AE18A7">
              <w:rPr>
                <w:rFonts w:ascii="Calibri" w:hAnsi="Calibri" w:cs="Calibri"/>
                <w:noProof/>
                <w:webHidden/>
              </w:rPr>
              <w:instrText xml:space="preserve"> PAGEREF _Toc229741675 \h </w:instrText>
            </w:r>
            <w:r w:rsidRPr="00AE18A7">
              <w:rPr>
                <w:rFonts w:ascii="Calibri" w:hAnsi="Calibri" w:cs="Calibri"/>
                <w:noProof/>
                <w:webHidden/>
              </w:rPr>
            </w:r>
            <w:r w:rsidRPr="00AE18A7">
              <w:rPr>
                <w:rFonts w:ascii="Calibri" w:hAnsi="Calibri" w:cs="Calibri"/>
                <w:noProof/>
                <w:webHidden/>
              </w:rPr>
              <w:fldChar w:fldCharType="separate"/>
            </w:r>
            <w:r w:rsidRPr="00AE18A7">
              <w:rPr>
                <w:rFonts w:ascii="Calibri" w:hAnsi="Calibri" w:cs="Calibri"/>
                <w:noProof/>
                <w:webHidden/>
              </w:rPr>
              <w:t>6</w:t>
            </w:r>
            <w:r w:rsidRPr="00AE18A7">
              <w:rPr>
                <w:rFonts w:ascii="Calibri" w:hAnsi="Calibri" w:cs="Calibri"/>
                <w:noProof/>
                <w:webHidden/>
              </w:rPr>
              <w:fldChar w:fldCharType="end"/>
            </w:r>
          </w:hyperlink>
        </w:p>
        <w:p w14:paraId="0833B313" w14:textId="3D27F9C9" w:rsidR="00AE18A7" w:rsidRPr="00AE18A7" w:rsidRDefault="00AE18A7">
          <w:pPr>
            <w:pStyle w:val="TOC1"/>
            <w:tabs>
              <w:tab w:val="right" w:leader="dot" w:pos="9628"/>
            </w:tabs>
            <w:rPr>
              <w:rFonts w:ascii="Calibri" w:eastAsiaTheme="minorEastAsia" w:hAnsi="Calibri" w:cs="Calibri"/>
              <w:noProof/>
              <w:color w:val="auto"/>
              <w:kern w:val="2"/>
              <w:sz w:val="24"/>
              <w:szCs w:val="24"/>
              <w14:ligatures w14:val="standardContextual"/>
            </w:rPr>
          </w:pPr>
          <w:hyperlink w:anchor="_Toc229741676" w:history="1">
            <w:r w:rsidRPr="00AE18A7">
              <w:rPr>
                <w:rStyle w:val="Hyperlink"/>
                <w:rFonts w:ascii="Calibri" w:hAnsi="Calibri" w:cs="Calibri"/>
                <w:noProof/>
              </w:rPr>
              <w:t>5. Layer -1: The Prohibition Layer</w:t>
            </w:r>
            <w:r w:rsidRPr="00AE18A7">
              <w:rPr>
                <w:rFonts w:ascii="Calibri" w:hAnsi="Calibri" w:cs="Calibri"/>
                <w:noProof/>
                <w:webHidden/>
              </w:rPr>
              <w:tab/>
            </w:r>
            <w:r w:rsidRPr="00AE18A7">
              <w:rPr>
                <w:rFonts w:ascii="Calibri" w:hAnsi="Calibri" w:cs="Calibri"/>
                <w:noProof/>
                <w:webHidden/>
              </w:rPr>
              <w:fldChar w:fldCharType="begin"/>
            </w:r>
            <w:r w:rsidRPr="00AE18A7">
              <w:rPr>
                <w:rFonts w:ascii="Calibri" w:hAnsi="Calibri" w:cs="Calibri"/>
                <w:noProof/>
                <w:webHidden/>
              </w:rPr>
              <w:instrText xml:space="preserve"> PAGEREF _Toc229741676 \h </w:instrText>
            </w:r>
            <w:r w:rsidRPr="00AE18A7">
              <w:rPr>
                <w:rFonts w:ascii="Calibri" w:hAnsi="Calibri" w:cs="Calibri"/>
                <w:noProof/>
                <w:webHidden/>
              </w:rPr>
            </w:r>
            <w:r w:rsidRPr="00AE18A7">
              <w:rPr>
                <w:rFonts w:ascii="Calibri" w:hAnsi="Calibri" w:cs="Calibri"/>
                <w:noProof/>
                <w:webHidden/>
              </w:rPr>
              <w:fldChar w:fldCharType="separate"/>
            </w:r>
            <w:r w:rsidRPr="00AE18A7">
              <w:rPr>
                <w:rFonts w:ascii="Calibri" w:hAnsi="Calibri" w:cs="Calibri"/>
                <w:noProof/>
                <w:webHidden/>
              </w:rPr>
              <w:t>6</w:t>
            </w:r>
            <w:r w:rsidRPr="00AE18A7">
              <w:rPr>
                <w:rFonts w:ascii="Calibri" w:hAnsi="Calibri" w:cs="Calibri"/>
                <w:noProof/>
                <w:webHidden/>
              </w:rPr>
              <w:fldChar w:fldCharType="end"/>
            </w:r>
          </w:hyperlink>
        </w:p>
        <w:p w14:paraId="42698B49" w14:textId="299D796A" w:rsidR="00AE18A7" w:rsidRPr="00AE18A7" w:rsidRDefault="00AE18A7">
          <w:pPr>
            <w:pStyle w:val="TOC1"/>
            <w:tabs>
              <w:tab w:val="right" w:leader="dot" w:pos="9628"/>
            </w:tabs>
            <w:rPr>
              <w:rFonts w:ascii="Calibri" w:eastAsiaTheme="minorEastAsia" w:hAnsi="Calibri" w:cs="Calibri"/>
              <w:noProof/>
              <w:color w:val="auto"/>
              <w:kern w:val="2"/>
              <w:sz w:val="24"/>
              <w:szCs w:val="24"/>
              <w14:ligatures w14:val="standardContextual"/>
            </w:rPr>
          </w:pPr>
          <w:hyperlink w:anchor="_Toc229741677" w:history="1">
            <w:r w:rsidRPr="00AE18A7">
              <w:rPr>
                <w:rStyle w:val="Hyperlink"/>
                <w:rFonts w:ascii="Calibri" w:hAnsi="Calibri" w:cs="Calibri"/>
                <w:noProof/>
              </w:rPr>
              <w:t>6. Layer 0: Intelligence Assessment Gate</w:t>
            </w:r>
            <w:r w:rsidRPr="00AE18A7">
              <w:rPr>
                <w:rFonts w:ascii="Calibri" w:hAnsi="Calibri" w:cs="Calibri"/>
                <w:noProof/>
                <w:webHidden/>
              </w:rPr>
              <w:tab/>
            </w:r>
            <w:r w:rsidRPr="00AE18A7">
              <w:rPr>
                <w:rFonts w:ascii="Calibri" w:hAnsi="Calibri" w:cs="Calibri"/>
                <w:noProof/>
                <w:webHidden/>
              </w:rPr>
              <w:fldChar w:fldCharType="begin"/>
            </w:r>
            <w:r w:rsidRPr="00AE18A7">
              <w:rPr>
                <w:rFonts w:ascii="Calibri" w:hAnsi="Calibri" w:cs="Calibri"/>
                <w:noProof/>
                <w:webHidden/>
              </w:rPr>
              <w:instrText xml:space="preserve"> PAGEREF _Toc229741677 \h </w:instrText>
            </w:r>
            <w:r w:rsidRPr="00AE18A7">
              <w:rPr>
                <w:rFonts w:ascii="Calibri" w:hAnsi="Calibri" w:cs="Calibri"/>
                <w:noProof/>
                <w:webHidden/>
              </w:rPr>
            </w:r>
            <w:r w:rsidRPr="00AE18A7">
              <w:rPr>
                <w:rFonts w:ascii="Calibri" w:hAnsi="Calibri" w:cs="Calibri"/>
                <w:noProof/>
                <w:webHidden/>
              </w:rPr>
              <w:fldChar w:fldCharType="separate"/>
            </w:r>
            <w:r w:rsidRPr="00AE18A7">
              <w:rPr>
                <w:rFonts w:ascii="Calibri" w:hAnsi="Calibri" w:cs="Calibri"/>
                <w:noProof/>
                <w:webHidden/>
              </w:rPr>
              <w:t>7</w:t>
            </w:r>
            <w:r w:rsidRPr="00AE18A7">
              <w:rPr>
                <w:rFonts w:ascii="Calibri" w:hAnsi="Calibri" w:cs="Calibri"/>
                <w:noProof/>
                <w:webHidden/>
              </w:rPr>
              <w:fldChar w:fldCharType="end"/>
            </w:r>
          </w:hyperlink>
        </w:p>
        <w:p w14:paraId="66114FE0" w14:textId="6ABF7F4B" w:rsidR="00AE18A7" w:rsidRPr="00AE18A7" w:rsidRDefault="00AE18A7">
          <w:pPr>
            <w:pStyle w:val="TOC2"/>
            <w:tabs>
              <w:tab w:val="right" w:leader="dot" w:pos="9628"/>
            </w:tabs>
            <w:rPr>
              <w:rFonts w:ascii="Calibri" w:eastAsiaTheme="minorEastAsia" w:hAnsi="Calibri" w:cs="Calibri"/>
              <w:noProof/>
              <w:color w:val="auto"/>
              <w:kern w:val="2"/>
              <w:sz w:val="24"/>
              <w:szCs w:val="24"/>
              <w14:ligatures w14:val="standardContextual"/>
            </w:rPr>
          </w:pPr>
          <w:hyperlink w:anchor="_Toc229741678" w:history="1">
            <w:r w:rsidRPr="00AE18A7">
              <w:rPr>
                <w:rStyle w:val="Hyperlink"/>
                <w:rFonts w:ascii="Calibri" w:hAnsi="Calibri" w:cs="Calibri"/>
                <w:noProof/>
              </w:rPr>
              <w:t>6.1 Assessment 1 - Target Identification Confidence (TIC)</w:t>
            </w:r>
            <w:r w:rsidRPr="00AE18A7">
              <w:rPr>
                <w:rFonts w:ascii="Calibri" w:hAnsi="Calibri" w:cs="Calibri"/>
                <w:noProof/>
                <w:webHidden/>
              </w:rPr>
              <w:tab/>
            </w:r>
            <w:r w:rsidRPr="00AE18A7">
              <w:rPr>
                <w:rFonts w:ascii="Calibri" w:hAnsi="Calibri" w:cs="Calibri"/>
                <w:noProof/>
                <w:webHidden/>
              </w:rPr>
              <w:fldChar w:fldCharType="begin"/>
            </w:r>
            <w:r w:rsidRPr="00AE18A7">
              <w:rPr>
                <w:rFonts w:ascii="Calibri" w:hAnsi="Calibri" w:cs="Calibri"/>
                <w:noProof/>
                <w:webHidden/>
              </w:rPr>
              <w:instrText xml:space="preserve"> PAGEREF _Toc229741678 \h </w:instrText>
            </w:r>
            <w:r w:rsidRPr="00AE18A7">
              <w:rPr>
                <w:rFonts w:ascii="Calibri" w:hAnsi="Calibri" w:cs="Calibri"/>
                <w:noProof/>
                <w:webHidden/>
              </w:rPr>
            </w:r>
            <w:r w:rsidRPr="00AE18A7">
              <w:rPr>
                <w:rFonts w:ascii="Calibri" w:hAnsi="Calibri" w:cs="Calibri"/>
                <w:noProof/>
                <w:webHidden/>
              </w:rPr>
              <w:fldChar w:fldCharType="separate"/>
            </w:r>
            <w:r w:rsidRPr="00AE18A7">
              <w:rPr>
                <w:rFonts w:ascii="Calibri" w:hAnsi="Calibri" w:cs="Calibri"/>
                <w:noProof/>
                <w:webHidden/>
              </w:rPr>
              <w:t>7</w:t>
            </w:r>
            <w:r w:rsidRPr="00AE18A7">
              <w:rPr>
                <w:rFonts w:ascii="Calibri" w:hAnsi="Calibri" w:cs="Calibri"/>
                <w:noProof/>
                <w:webHidden/>
              </w:rPr>
              <w:fldChar w:fldCharType="end"/>
            </w:r>
          </w:hyperlink>
        </w:p>
        <w:p w14:paraId="413234D8" w14:textId="7901C808" w:rsidR="00AE18A7" w:rsidRPr="00AE18A7" w:rsidRDefault="00AE18A7">
          <w:pPr>
            <w:pStyle w:val="TOC2"/>
            <w:tabs>
              <w:tab w:val="right" w:leader="dot" w:pos="9628"/>
            </w:tabs>
            <w:rPr>
              <w:rFonts w:ascii="Calibri" w:eastAsiaTheme="minorEastAsia" w:hAnsi="Calibri" w:cs="Calibri"/>
              <w:noProof/>
              <w:color w:val="auto"/>
              <w:kern w:val="2"/>
              <w:sz w:val="24"/>
              <w:szCs w:val="24"/>
              <w14:ligatures w14:val="standardContextual"/>
            </w:rPr>
          </w:pPr>
          <w:hyperlink w:anchor="_Toc229741679" w:history="1">
            <w:r w:rsidRPr="00AE18A7">
              <w:rPr>
                <w:rStyle w:val="Hyperlink"/>
                <w:rFonts w:ascii="Calibri" w:hAnsi="Calibri" w:cs="Calibri"/>
                <w:noProof/>
              </w:rPr>
              <w:t>6.2 Assessment 2 - Legal Compliance Assessment (LCA)</w:t>
            </w:r>
            <w:r w:rsidRPr="00AE18A7">
              <w:rPr>
                <w:rFonts w:ascii="Calibri" w:hAnsi="Calibri" w:cs="Calibri"/>
                <w:noProof/>
                <w:webHidden/>
              </w:rPr>
              <w:tab/>
            </w:r>
            <w:r w:rsidRPr="00AE18A7">
              <w:rPr>
                <w:rFonts w:ascii="Calibri" w:hAnsi="Calibri" w:cs="Calibri"/>
                <w:noProof/>
                <w:webHidden/>
              </w:rPr>
              <w:fldChar w:fldCharType="begin"/>
            </w:r>
            <w:r w:rsidRPr="00AE18A7">
              <w:rPr>
                <w:rFonts w:ascii="Calibri" w:hAnsi="Calibri" w:cs="Calibri"/>
                <w:noProof/>
                <w:webHidden/>
              </w:rPr>
              <w:instrText xml:space="preserve"> PAGEREF _Toc229741679 \h </w:instrText>
            </w:r>
            <w:r w:rsidRPr="00AE18A7">
              <w:rPr>
                <w:rFonts w:ascii="Calibri" w:hAnsi="Calibri" w:cs="Calibri"/>
                <w:noProof/>
                <w:webHidden/>
              </w:rPr>
            </w:r>
            <w:r w:rsidRPr="00AE18A7">
              <w:rPr>
                <w:rFonts w:ascii="Calibri" w:hAnsi="Calibri" w:cs="Calibri"/>
                <w:noProof/>
                <w:webHidden/>
              </w:rPr>
              <w:fldChar w:fldCharType="separate"/>
            </w:r>
            <w:r w:rsidRPr="00AE18A7">
              <w:rPr>
                <w:rFonts w:ascii="Calibri" w:hAnsi="Calibri" w:cs="Calibri"/>
                <w:noProof/>
                <w:webHidden/>
              </w:rPr>
              <w:t>7</w:t>
            </w:r>
            <w:r w:rsidRPr="00AE18A7">
              <w:rPr>
                <w:rFonts w:ascii="Calibri" w:hAnsi="Calibri" w:cs="Calibri"/>
                <w:noProof/>
                <w:webHidden/>
              </w:rPr>
              <w:fldChar w:fldCharType="end"/>
            </w:r>
          </w:hyperlink>
        </w:p>
        <w:p w14:paraId="3E220E99" w14:textId="13D709FF" w:rsidR="00AE18A7" w:rsidRPr="00AE18A7" w:rsidRDefault="00AE18A7">
          <w:pPr>
            <w:pStyle w:val="TOC2"/>
            <w:tabs>
              <w:tab w:val="right" w:leader="dot" w:pos="9628"/>
            </w:tabs>
            <w:rPr>
              <w:rFonts w:ascii="Calibri" w:eastAsiaTheme="minorEastAsia" w:hAnsi="Calibri" w:cs="Calibri"/>
              <w:noProof/>
              <w:color w:val="auto"/>
              <w:kern w:val="2"/>
              <w:sz w:val="24"/>
              <w:szCs w:val="24"/>
              <w14:ligatures w14:val="standardContextual"/>
            </w:rPr>
          </w:pPr>
          <w:hyperlink w:anchor="_Toc229741680" w:history="1">
            <w:r w:rsidRPr="00AE18A7">
              <w:rPr>
                <w:rStyle w:val="Hyperlink"/>
                <w:rFonts w:ascii="Calibri" w:hAnsi="Calibri" w:cs="Calibri"/>
                <w:noProof/>
              </w:rPr>
              <w:t>6.3 Assessments 3 and 4 - CDE and Situational Currency</w:t>
            </w:r>
            <w:r w:rsidRPr="00AE18A7">
              <w:rPr>
                <w:rFonts w:ascii="Calibri" w:hAnsi="Calibri" w:cs="Calibri"/>
                <w:noProof/>
                <w:webHidden/>
              </w:rPr>
              <w:tab/>
            </w:r>
            <w:r w:rsidRPr="00AE18A7">
              <w:rPr>
                <w:rFonts w:ascii="Calibri" w:hAnsi="Calibri" w:cs="Calibri"/>
                <w:noProof/>
                <w:webHidden/>
              </w:rPr>
              <w:fldChar w:fldCharType="begin"/>
            </w:r>
            <w:r w:rsidRPr="00AE18A7">
              <w:rPr>
                <w:rFonts w:ascii="Calibri" w:hAnsi="Calibri" w:cs="Calibri"/>
                <w:noProof/>
                <w:webHidden/>
              </w:rPr>
              <w:instrText xml:space="preserve"> PAGEREF _Toc229741680 \h </w:instrText>
            </w:r>
            <w:r w:rsidRPr="00AE18A7">
              <w:rPr>
                <w:rFonts w:ascii="Calibri" w:hAnsi="Calibri" w:cs="Calibri"/>
                <w:noProof/>
                <w:webHidden/>
              </w:rPr>
            </w:r>
            <w:r w:rsidRPr="00AE18A7">
              <w:rPr>
                <w:rFonts w:ascii="Calibri" w:hAnsi="Calibri" w:cs="Calibri"/>
                <w:noProof/>
                <w:webHidden/>
              </w:rPr>
              <w:fldChar w:fldCharType="separate"/>
            </w:r>
            <w:r w:rsidRPr="00AE18A7">
              <w:rPr>
                <w:rFonts w:ascii="Calibri" w:hAnsi="Calibri" w:cs="Calibri"/>
                <w:noProof/>
                <w:webHidden/>
              </w:rPr>
              <w:t>7</w:t>
            </w:r>
            <w:r w:rsidRPr="00AE18A7">
              <w:rPr>
                <w:rFonts w:ascii="Calibri" w:hAnsi="Calibri" w:cs="Calibri"/>
                <w:noProof/>
                <w:webHidden/>
              </w:rPr>
              <w:fldChar w:fldCharType="end"/>
            </w:r>
          </w:hyperlink>
        </w:p>
        <w:p w14:paraId="3B96CC0A" w14:textId="19064EDB" w:rsidR="00AE18A7" w:rsidRPr="00AE18A7" w:rsidRDefault="00AE18A7">
          <w:pPr>
            <w:pStyle w:val="TOC1"/>
            <w:tabs>
              <w:tab w:val="right" w:leader="dot" w:pos="9628"/>
            </w:tabs>
            <w:rPr>
              <w:rFonts w:ascii="Calibri" w:eastAsiaTheme="minorEastAsia" w:hAnsi="Calibri" w:cs="Calibri"/>
              <w:noProof/>
              <w:color w:val="auto"/>
              <w:kern w:val="2"/>
              <w:sz w:val="24"/>
              <w:szCs w:val="24"/>
              <w14:ligatures w14:val="standardContextual"/>
            </w:rPr>
          </w:pPr>
          <w:hyperlink w:anchor="_Toc229741681" w:history="1">
            <w:r w:rsidRPr="00AE18A7">
              <w:rPr>
                <w:rStyle w:val="Hyperlink"/>
                <w:rFonts w:ascii="Calibri" w:hAnsi="Calibri" w:cs="Calibri"/>
                <w:noProof/>
              </w:rPr>
              <w:t>7. Layer 1: Confidence and Uncertainty</w:t>
            </w:r>
            <w:r w:rsidRPr="00AE18A7">
              <w:rPr>
                <w:rFonts w:ascii="Calibri" w:hAnsi="Calibri" w:cs="Calibri"/>
                <w:noProof/>
                <w:webHidden/>
              </w:rPr>
              <w:tab/>
            </w:r>
            <w:r w:rsidRPr="00AE18A7">
              <w:rPr>
                <w:rFonts w:ascii="Calibri" w:hAnsi="Calibri" w:cs="Calibri"/>
                <w:noProof/>
                <w:webHidden/>
              </w:rPr>
              <w:fldChar w:fldCharType="begin"/>
            </w:r>
            <w:r w:rsidRPr="00AE18A7">
              <w:rPr>
                <w:rFonts w:ascii="Calibri" w:hAnsi="Calibri" w:cs="Calibri"/>
                <w:noProof/>
                <w:webHidden/>
              </w:rPr>
              <w:instrText xml:space="preserve"> PAGEREF _Toc229741681 \h </w:instrText>
            </w:r>
            <w:r w:rsidRPr="00AE18A7">
              <w:rPr>
                <w:rFonts w:ascii="Calibri" w:hAnsi="Calibri" w:cs="Calibri"/>
                <w:noProof/>
                <w:webHidden/>
              </w:rPr>
            </w:r>
            <w:r w:rsidRPr="00AE18A7">
              <w:rPr>
                <w:rFonts w:ascii="Calibri" w:hAnsi="Calibri" w:cs="Calibri"/>
                <w:noProof/>
                <w:webHidden/>
              </w:rPr>
              <w:fldChar w:fldCharType="separate"/>
            </w:r>
            <w:r w:rsidRPr="00AE18A7">
              <w:rPr>
                <w:rFonts w:ascii="Calibri" w:hAnsi="Calibri" w:cs="Calibri"/>
                <w:noProof/>
                <w:webHidden/>
              </w:rPr>
              <w:t>8</w:t>
            </w:r>
            <w:r w:rsidRPr="00AE18A7">
              <w:rPr>
                <w:rFonts w:ascii="Calibri" w:hAnsi="Calibri" w:cs="Calibri"/>
                <w:noProof/>
                <w:webHidden/>
              </w:rPr>
              <w:fldChar w:fldCharType="end"/>
            </w:r>
          </w:hyperlink>
        </w:p>
        <w:p w14:paraId="231E67E9" w14:textId="3C3D95AD" w:rsidR="00AE18A7" w:rsidRPr="00AE18A7" w:rsidRDefault="00AE18A7">
          <w:pPr>
            <w:pStyle w:val="TOC1"/>
            <w:tabs>
              <w:tab w:val="right" w:leader="dot" w:pos="9628"/>
            </w:tabs>
            <w:rPr>
              <w:rFonts w:ascii="Calibri" w:eastAsiaTheme="minorEastAsia" w:hAnsi="Calibri" w:cs="Calibri"/>
              <w:noProof/>
              <w:color w:val="auto"/>
              <w:kern w:val="2"/>
              <w:sz w:val="24"/>
              <w:szCs w:val="24"/>
              <w14:ligatures w14:val="standardContextual"/>
            </w:rPr>
          </w:pPr>
          <w:hyperlink w:anchor="_Toc229741682" w:history="1">
            <w:r w:rsidRPr="00AE18A7">
              <w:rPr>
                <w:rStyle w:val="Hyperlink"/>
                <w:rFonts w:ascii="Calibri" w:hAnsi="Calibri" w:cs="Calibri"/>
                <w:noProof/>
              </w:rPr>
              <w:t>8. Layer 2: Lethality Tier Model</w:t>
            </w:r>
            <w:r w:rsidRPr="00AE18A7">
              <w:rPr>
                <w:rFonts w:ascii="Calibri" w:hAnsi="Calibri" w:cs="Calibri"/>
                <w:noProof/>
                <w:webHidden/>
              </w:rPr>
              <w:tab/>
            </w:r>
            <w:r w:rsidRPr="00AE18A7">
              <w:rPr>
                <w:rFonts w:ascii="Calibri" w:hAnsi="Calibri" w:cs="Calibri"/>
                <w:noProof/>
                <w:webHidden/>
              </w:rPr>
              <w:fldChar w:fldCharType="begin"/>
            </w:r>
            <w:r w:rsidRPr="00AE18A7">
              <w:rPr>
                <w:rFonts w:ascii="Calibri" w:hAnsi="Calibri" w:cs="Calibri"/>
                <w:noProof/>
                <w:webHidden/>
              </w:rPr>
              <w:instrText xml:space="preserve"> PAGEREF _Toc229741682 \h </w:instrText>
            </w:r>
            <w:r w:rsidRPr="00AE18A7">
              <w:rPr>
                <w:rFonts w:ascii="Calibri" w:hAnsi="Calibri" w:cs="Calibri"/>
                <w:noProof/>
                <w:webHidden/>
              </w:rPr>
            </w:r>
            <w:r w:rsidRPr="00AE18A7">
              <w:rPr>
                <w:rFonts w:ascii="Calibri" w:hAnsi="Calibri" w:cs="Calibri"/>
                <w:noProof/>
                <w:webHidden/>
              </w:rPr>
              <w:fldChar w:fldCharType="separate"/>
            </w:r>
            <w:r w:rsidRPr="00AE18A7">
              <w:rPr>
                <w:rFonts w:ascii="Calibri" w:hAnsi="Calibri" w:cs="Calibri"/>
                <w:noProof/>
                <w:webHidden/>
              </w:rPr>
              <w:t>8</w:t>
            </w:r>
            <w:r w:rsidRPr="00AE18A7">
              <w:rPr>
                <w:rFonts w:ascii="Calibri" w:hAnsi="Calibri" w:cs="Calibri"/>
                <w:noProof/>
                <w:webHidden/>
              </w:rPr>
              <w:fldChar w:fldCharType="end"/>
            </w:r>
          </w:hyperlink>
        </w:p>
        <w:p w14:paraId="60852C09" w14:textId="24C8E178" w:rsidR="00AE18A7" w:rsidRPr="00AE18A7" w:rsidRDefault="00AE18A7">
          <w:pPr>
            <w:pStyle w:val="TOC1"/>
            <w:tabs>
              <w:tab w:val="right" w:leader="dot" w:pos="9628"/>
            </w:tabs>
            <w:rPr>
              <w:rFonts w:ascii="Calibri" w:eastAsiaTheme="minorEastAsia" w:hAnsi="Calibri" w:cs="Calibri"/>
              <w:noProof/>
              <w:color w:val="auto"/>
              <w:kern w:val="2"/>
              <w:sz w:val="24"/>
              <w:szCs w:val="24"/>
              <w14:ligatures w14:val="standardContextual"/>
            </w:rPr>
          </w:pPr>
          <w:hyperlink w:anchor="_Toc229741683" w:history="1">
            <w:r w:rsidRPr="00AE18A7">
              <w:rPr>
                <w:rStyle w:val="Hyperlink"/>
                <w:rFonts w:ascii="Calibri" w:hAnsi="Calibri" w:cs="Calibri"/>
                <w:noProof/>
              </w:rPr>
              <w:t>9. Layer 3: Human Authorisation</w:t>
            </w:r>
            <w:r w:rsidRPr="00AE18A7">
              <w:rPr>
                <w:rFonts w:ascii="Calibri" w:hAnsi="Calibri" w:cs="Calibri"/>
                <w:noProof/>
                <w:webHidden/>
              </w:rPr>
              <w:tab/>
            </w:r>
            <w:r w:rsidRPr="00AE18A7">
              <w:rPr>
                <w:rFonts w:ascii="Calibri" w:hAnsi="Calibri" w:cs="Calibri"/>
                <w:noProof/>
                <w:webHidden/>
              </w:rPr>
              <w:fldChar w:fldCharType="begin"/>
            </w:r>
            <w:r w:rsidRPr="00AE18A7">
              <w:rPr>
                <w:rFonts w:ascii="Calibri" w:hAnsi="Calibri" w:cs="Calibri"/>
                <w:noProof/>
                <w:webHidden/>
              </w:rPr>
              <w:instrText xml:space="preserve"> PAGEREF _Toc229741683 \h </w:instrText>
            </w:r>
            <w:r w:rsidRPr="00AE18A7">
              <w:rPr>
                <w:rFonts w:ascii="Calibri" w:hAnsi="Calibri" w:cs="Calibri"/>
                <w:noProof/>
                <w:webHidden/>
              </w:rPr>
            </w:r>
            <w:r w:rsidRPr="00AE18A7">
              <w:rPr>
                <w:rFonts w:ascii="Calibri" w:hAnsi="Calibri" w:cs="Calibri"/>
                <w:noProof/>
                <w:webHidden/>
              </w:rPr>
              <w:fldChar w:fldCharType="separate"/>
            </w:r>
            <w:r w:rsidRPr="00AE18A7">
              <w:rPr>
                <w:rFonts w:ascii="Calibri" w:hAnsi="Calibri" w:cs="Calibri"/>
                <w:noProof/>
                <w:webHidden/>
              </w:rPr>
              <w:t>9</w:t>
            </w:r>
            <w:r w:rsidRPr="00AE18A7">
              <w:rPr>
                <w:rFonts w:ascii="Calibri" w:hAnsi="Calibri" w:cs="Calibri"/>
                <w:noProof/>
                <w:webHidden/>
              </w:rPr>
              <w:fldChar w:fldCharType="end"/>
            </w:r>
          </w:hyperlink>
        </w:p>
        <w:p w14:paraId="6FF73FAA" w14:textId="157CF841" w:rsidR="00AE18A7" w:rsidRPr="00AE18A7" w:rsidRDefault="00AE18A7">
          <w:pPr>
            <w:pStyle w:val="TOC2"/>
            <w:tabs>
              <w:tab w:val="right" w:leader="dot" w:pos="9628"/>
            </w:tabs>
            <w:rPr>
              <w:rFonts w:ascii="Calibri" w:eastAsiaTheme="minorEastAsia" w:hAnsi="Calibri" w:cs="Calibri"/>
              <w:noProof/>
              <w:color w:val="auto"/>
              <w:kern w:val="2"/>
              <w:sz w:val="24"/>
              <w:szCs w:val="24"/>
              <w14:ligatures w14:val="standardContextual"/>
            </w:rPr>
          </w:pPr>
          <w:hyperlink w:anchor="_Toc229741684" w:history="1">
            <w:r w:rsidRPr="00AE18A7">
              <w:rPr>
                <w:rStyle w:val="Hyperlink"/>
                <w:rFonts w:ascii="Calibri" w:hAnsi="Calibri" w:cs="Calibri"/>
                <w:noProof/>
              </w:rPr>
              <w:t>9.1 Multi-Authoriser Requirement</w:t>
            </w:r>
            <w:r w:rsidRPr="00AE18A7">
              <w:rPr>
                <w:rFonts w:ascii="Calibri" w:hAnsi="Calibri" w:cs="Calibri"/>
                <w:noProof/>
                <w:webHidden/>
              </w:rPr>
              <w:tab/>
            </w:r>
            <w:r w:rsidRPr="00AE18A7">
              <w:rPr>
                <w:rFonts w:ascii="Calibri" w:hAnsi="Calibri" w:cs="Calibri"/>
                <w:noProof/>
                <w:webHidden/>
              </w:rPr>
              <w:fldChar w:fldCharType="begin"/>
            </w:r>
            <w:r w:rsidRPr="00AE18A7">
              <w:rPr>
                <w:rFonts w:ascii="Calibri" w:hAnsi="Calibri" w:cs="Calibri"/>
                <w:noProof/>
                <w:webHidden/>
              </w:rPr>
              <w:instrText xml:space="preserve"> PAGEREF _Toc229741684 \h </w:instrText>
            </w:r>
            <w:r w:rsidRPr="00AE18A7">
              <w:rPr>
                <w:rFonts w:ascii="Calibri" w:hAnsi="Calibri" w:cs="Calibri"/>
                <w:noProof/>
                <w:webHidden/>
              </w:rPr>
            </w:r>
            <w:r w:rsidRPr="00AE18A7">
              <w:rPr>
                <w:rFonts w:ascii="Calibri" w:hAnsi="Calibri" w:cs="Calibri"/>
                <w:noProof/>
                <w:webHidden/>
              </w:rPr>
              <w:fldChar w:fldCharType="separate"/>
            </w:r>
            <w:r w:rsidRPr="00AE18A7">
              <w:rPr>
                <w:rFonts w:ascii="Calibri" w:hAnsi="Calibri" w:cs="Calibri"/>
                <w:noProof/>
                <w:webHidden/>
              </w:rPr>
              <w:t>9</w:t>
            </w:r>
            <w:r w:rsidRPr="00AE18A7">
              <w:rPr>
                <w:rFonts w:ascii="Calibri" w:hAnsi="Calibri" w:cs="Calibri"/>
                <w:noProof/>
                <w:webHidden/>
              </w:rPr>
              <w:fldChar w:fldCharType="end"/>
            </w:r>
          </w:hyperlink>
        </w:p>
        <w:p w14:paraId="7B525A42" w14:textId="7006369B" w:rsidR="00AE18A7" w:rsidRPr="00AE18A7" w:rsidRDefault="00AE18A7">
          <w:pPr>
            <w:pStyle w:val="TOC2"/>
            <w:tabs>
              <w:tab w:val="right" w:leader="dot" w:pos="9628"/>
            </w:tabs>
            <w:rPr>
              <w:rFonts w:ascii="Calibri" w:eastAsiaTheme="minorEastAsia" w:hAnsi="Calibri" w:cs="Calibri"/>
              <w:noProof/>
              <w:color w:val="auto"/>
              <w:kern w:val="2"/>
              <w:sz w:val="24"/>
              <w:szCs w:val="24"/>
              <w14:ligatures w14:val="standardContextual"/>
            </w:rPr>
          </w:pPr>
          <w:hyperlink w:anchor="_Toc229741685" w:history="1">
            <w:r w:rsidRPr="00AE18A7">
              <w:rPr>
                <w:rStyle w:val="Hyperlink"/>
                <w:rFonts w:ascii="Calibri" w:hAnsi="Calibri" w:cs="Calibri"/>
                <w:noProof/>
              </w:rPr>
              <w:t>9.2 Anti-Automation-Bias Interface Requirements</w:t>
            </w:r>
            <w:r w:rsidRPr="00AE18A7">
              <w:rPr>
                <w:rFonts w:ascii="Calibri" w:hAnsi="Calibri" w:cs="Calibri"/>
                <w:noProof/>
                <w:webHidden/>
              </w:rPr>
              <w:tab/>
            </w:r>
            <w:r w:rsidRPr="00AE18A7">
              <w:rPr>
                <w:rFonts w:ascii="Calibri" w:hAnsi="Calibri" w:cs="Calibri"/>
                <w:noProof/>
                <w:webHidden/>
              </w:rPr>
              <w:fldChar w:fldCharType="begin"/>
            </w:r>
            <w:r w:rsidRPr="00AE18A7">
              <w:rPr>
                <w:rFonts w:ascii="Calibri" w:hAnsi="Calibri" w:cs="Calibri"/>
                <w:noProof/>
                <w:webHidden/>
              </w:rPr>
              <w:instrText xml:space="preserve"> PAGEREF _Toc229741685 \h </w:instrText>
            </w:r>
            <w:r w:rsidRPr="00AE18A7">
              <w:rPr>
                <w:rFonts w:ascii="Calibri" w:hAnsi="Calibri" w:cs="Calibri"/>
                <w:noProof/>
                <w:webHidden/>
              </w:rPr>
            </w:r>
            <w:r w:rsidRPr="00AE18A7">
              <w:rPr>
                <w:rFonts w:ascii="Calibri" w:hAnsi="Calibri" w:cs="Calibri"/>
                <w:noProof/>
                <w:webHidden/>
              </w:rPr>
              <w:fldChar w:fldCharType="separate"/>
            </w:r>
            <w:r w:rsidRPr="00AE18A7">
              <w:rPr>
                <w:rFonts w:ascii="Calibri" w:hAnsi="Calibri" w:cs="Calibri"/>
                <w:noProof/>
                <w:webHidden/>
              </w:rPr>
              <w:t>9</w:t>
            </w:r>
            <w:r w:rsidRPr="00AE18A7">
              <w:rPr>
                <w:rFonts w:ascii="Calibri" w:hAnsi="Calibri" w:cs="Calibri"/>
                <w:noProof/>
                <w:webHidden/>
              </w:rPr>
              <w:fldChar w:fldCharType="end"/>
            </w:r>
          </w:hyperlink>
        </w:p>
        <w:p w14:paraId="215D9FC6" w14:textId="2870DBB5" w:rsidR="00AE18A7" w:rsidRPr="00AE18A7" w:rsidRDefault="00AE18A7">
          <w:pPr>
            <w:pStyle w:val="TOC2"/>
            <w:tabs>
              <w:tab w:val="right" w:leader="dot" w:pos="9628"/>
            </w:tabs>
            <w:rPr>
              <w:rFonts w:ascii="Calibri" w:eastAsiaTheme="minorEastAsia" w:hAnsi="Calibri" w:cs="Calibri"/>
              <w:noProof/>
              <w:color w:val="auto"/>
              <w:kern w:val="2"/>
              <w:sz w:val="24"/>
              <w:szCs w:val="24"/>
              <w14:ligatures w14:val="standardContextual"/>
            </w:rPr>
          </w:pPr>
          <w:hyperlink w:anchor="_Toc229741686" w:history="1">
            <w:r w:rsidRPr="00AE18A7">
              <w:rPr>
                <w:rStyle w:val="Hyperlink"/>
                <w:rFonts w:ascii="Calibri" w:hAnsi="Calibri" w:cs="Calibri"/>
                <w:noProof/>
              </w:rPr>
              <w:t>9.3 Approval Token Architecture</w:t>
            </w:r>
            <w:r w:rsidRPr="00AE18A7">
              <w:rPr>
                <w:rFonts w:ascii="Calibri" w:hAnsi="Calibri" w:cs="Calibri"/>
                <w:noProof/>
                <w:webHidden/>
              </w:rPr>
              <w:tab/>
            </w:r>
            <w:r w:rsidRPr="00AE18A7">
              <w:rPr>
                <w:rFonts w:ascii="Calibri" w:hAnsi="Calibri" w:cs="Calibri"/>
                <w:noProof/>
                <w:webHidden/>
              </w:rPr>
              <w:fldChar w:fldCharType="begin"/>
            </w:r>
            <w:r w:rsidRPr="00AE18A7">
              <w:rPr>
                <w:rFonts w:ascii="Calibri" w:hAnsi="Calibri" w:cs="Calibri"/>
                <w:noProof/>
                <w:webHidden/>
              </w:rPr>
              <w:instrText xml:space="preserve"> PAGEREF _Toc229741686 \h </w:instrText>
            </w:r>
            <w:r w:rsidRPr="00AE18A7">
              <w:rPr>
                <w:rFonts w:ascii="Calibri" w:hAnsi="Calibri" w:cs="Calibri"/>
                <w:noProof/>
                <w:webHidden/>
              </w:rPr>
            </w:r>
            <w:r w:rsidRPr="00AE18A7">
              <w:rPr>
                <w:rFonts w:ascii="Calibri" w:hAnsi="Calibri" w:cs="Calibri"/>
                <w:noProof/>
                <w:webHidden/>
              </w:rPr>
              <w:fldChar w:fldCharType="separate"/>
            </w:r>
            <w:r w:rsidRPr="00AE18A7">
              <w:rPr>
                <w:rFonts w:ascii="Calibri" w:hAnsi="Calibri" w:cs="Calibri"/>
                <w:noProof/>
                <w:webHidden/>
              </w:rPr>
              <w:t>10</w:t>
            </w:r>
            <w:r w:rsidRPr="00AE18A7">
              <w:rPr>
                <w:rFonts w:ascii="Calibri" w:hAnsi="Calibri" w:cs="Calibri"/>
                <w:noProof/>
                <w:webHidden/>
              </w:rPr>
              <w:fldChar w:fldCharType="end"/>
            </w:r>
          </w:hyperlink>
        </w:p>
        <w:p w14:paraId="1FC723E8" w14:textId="5B270C37" w:rsidR="00AE18A7" w:rsidRPr="00AE18A7" w:rsidRDefault="00AE18A7">
          <w:pPr>
            <w:pStyle w:val="TOC1"/>
            <w:tabs>
              <w:tab w:val="right" w:leader="dot" w:pos="9628"/>
            </w:tabs>
            <w:rPr>
              <w:rFonts w:ascii="Calibri" w:eastAsiaTheme="minorEastAsia" w:hAnsi="Calibri" w:cs="Calibri"/>
              <w:noProof/>
              <w:color w:val="auto"/>
              <w:kern w:val="2"/>
              <w:sz w:val="24"/>
              <w:szCs w:val="24"/>
              <w14:ligatures w14:val="standardContextual"/>
            </w:rPr>
          </w:pPr>
          <w:hyperlink w:anchor="_Toc229741687" w:history="1">
            <w:r w:rsidRPr="00AE18A7">
              <w:rPr>
                <w:rStyle w:val="Hyperlink"/>
                <w:rFonts w:ascii="Calibri" w:hAnsi="Calibri" w:cs="Calibri"/>
                <w:noProof/>
              </w:rPr>
              <w:t>10. Layer 4: Immutable Audit and Accountability</w:t>
            </w:r>
            <w:r w:rsidRPr="00AE18A7">
              <w:rPr>
                <w:rFonts w:ascii="Calibri" w:hAnsi="Calibri" w:cs="Calibri"/>
                <w:noProof/>
                <w:webHidden/>
              </w:rPr>
              <w:tab/>
            </w:r>
            <w:r w:rsidRPr="00AE18A7">
              <w:rPr>
                <w:rFonts w:ascii="Calibri" w:hAnsi="Calibri" w:cs="Calibri"/>
                <w:noProof/>
                <w:webHidden/>
              </w:rPr>
              <w:fldChar w:fldCharType="begin"/>
            </w:r>
            <w:r w:rsidRPr="00AE18A7">
              <w:rPr>
                <w:rFonts w:ascii="Calibri" w:hAnsi="Calibri" w:cs="Calibri"/>
                <w:noProof/>
                <w:webHidden/>
              </w:rPr>
              <w:instrText xml:space="preserve"> PAGEREF _Toc229741687 \h </w:instrText>
            </w:r>
            <w:r w:rsidRPr="00AE18A7">
              <w:rPr>
                <w:rFonts w:ascii="Calibri" w:hAnsi="Calibri" w:cs="Calibri"/>
                <w:noProof/>
                <w:webHidden/>
              </w:rPr>
            </w:r>
            <w:r w:rsidRPr="00AE18A7">
              <w:rPr>
                <w:rFonts w:ascii="Calibri" w:hAnsi="Calibri" w:cs="Calibri"/>
                <w:noProof/>
                <w:webHidden/>
              </w:rPr>
              <w:fldChar w:fldCharType="separate"/>
            </w:r>
            <w:r w:rsidRPr="00AE18A7">
              <w:rPr>
                <w:rFonts w:ascii="Calibri" w:hAnsi="Calibri" w:cs="Calibri"/>
                <w:noProof/>
                <w:webHidden/>
              </w:rPr>
              <w:t>10</w:t>
            </w:r>
            <w:r w:rsidRPr="00AE18A7">
              <w:rPr>
                <w:rFonts w:ascii="Calibri" w:hAnsi="Calibri" w:cs="Calibri"/>
                <w:noProof/>
                <w:webHidden/>
              </w:rPr>
              <w:fldChar w:fldCharType="end"/>
            </w:r>
          </w:hyperlink>
        </w:p>
        <w:p w14:paraId="35B93EDE" w14:textId="6C9EB2A4" w:rsidR="00AE18A7" w:rsidRPr="00AE18A7" w:rsidRDefault="00AE18A7">
          <w:pPr>
            <w:pStyle w:val="TOC1"/>
            <w:tabs>
              <w:tab w:val="right" w:leader="dot" w:pos="9628"/>
            </w:tabs>
            <w:rPr>
              <w:rFonts w:ascii="Calibri" w:eastAsiaTheme="minorEastAsia" w:hAnsi="Calibri" w:cs="Calibri"/>
              <w:noProof/>
              <w:color w:val="auto"/>
              <w:kern w:val="2"/>
              <w:sz w:val="24"/>
              <w:szCs w:val="24"/>
              <w14:ligatures w14:val="standardContextual"/>
            </w:rPr>
          </w:pPr>
          <w:hyperlink w:anchor="_Toc229741688" w:history="1">
            <w:r w:rsidRPr="00AE18A7">
              <w:rPr>
                <w:rStyle w:val="Hyperlink"/>
                <w:rFonts w:ascii="Calibri" w:hAnsi="Calibri" w:cs="Calibri"/>
                <w:noProof/>
              </w:rPr>
              <w:t>11. What This Framework Cannot Do</w:t>
            </w:r>
            <w:r w:rsidRPr="00AE18A7">
              <w:rPr>
                <w:rFonts w:ascii="Calibri" w:hAnsi="Calibri" w:cs="Calibri"/>
                <w:noProof/>
                <w:webHidden/>
              </w:rPr>
              <w:tab/>
            </w:r>
            <w:r w:rsidRPr="00AE18A7">
              <w:rPr>
                <w:rFonts w:ascii="Calibri" w:hAnsi="Calibri" w:cs="Calibri"/>
                <w:noProof/>
                <w:webHidden/>
              </w:rPr>
              <w:fldChar w:fldCharType="begin"/>
            </w:r>
            <w:r w:rsidRPr="00AE18A7">
              <w:rPr>
                <w:rFonts w:ascii="Calibri" w:hAnsi="Calibri" w:cs="Calibri"/>
                <w:noProof/>
                <w:webHidden/>
              </w:rPr>
              <w:instrText xml:space="preserve"> PAGEREF _Toc229741688 \h </w:instrText>
            </w:r>
            <w:r w:rsidRPr="00AE18A7">
              <w:rPr>
                <w:rFonts w:ascii="Calibri" w:hAnsi="Calibri" w:cs="Calibri"/>
                <w:noProof/>
                <w:webHidden/>
              </w:rPr>
            </w:r>
            <w:r w:rsidRPr="00AE18A7">
              <w:rPr>
                <w:rFonts w:ascii="Calibri" w:hAnsi="Calibri" w:cs="Calibri"/>
                <w:noProof/>
                <w:webHidden/>
              </w:rPr>
              <w:fldChar w:fldCharType="separate"/>
            </w:r>
            <w:r w:rsidRPr="00AE18A7">
              <w:rPr>
                <w:rFonts w:ascii="Calibri" w:hAnsi="Calibri" w:cs="Calibri"/>
                <w:noProof/>
                <w:webHidden/>
              </w:rPr>
              <w:t>10</w:t>
            </w:r>
            <w:r w:rsidRPr="00AE18A7">
              <w:rPr>
                <w:rFonts w:ascii="Calibri" w:hAnsi="Calibri" w:cs="Calibri"/>
                <w:noProof/>
                <w:webHidden/>
              </w:rPr>
              <w:fldChar w:fldCharType="end"/>
            </w:r>
          </w:hyperlink>
        </w:p>
        <w:p w14:paraId="1EAD9E58" w14:textId="481D7C11" w:rsidR="00AE18A7" w:rsidRPr="00AE18A7" w:rsidRDefault="00AE18A7">
          <w:pPr>
            <w:pStyle w:val="TOC1"/>
            <w:tabs>
              <w:tab w:val="right" w:leader="dot" w:pos="9628"/>
            </w:tabs>
            <w:rPr>
              <w:rFonts w:ascii="Calibri" w:eastAsiaTheme="minorEastAsia" w:hAnsi="Calibri" w:cs="Calibri"/>
              <w:noProof/>
              <w:color w:val="auto"/>
              <w:kern w:val="2"/>
              <w:sz w:val="24"/>
              <w:szCs w:val="24"/>
              <w14:ligatures w14:val="standardContextual"/>
            </w:rPr>
          </w:pPr>
          <w:hyperlink w:anchor="_Toc229741689" w:history="1">
            <w:r w:rsidRPr="00AE18A7">
              <w:rPr>
                <w:rStyle w:val="Hyperlink"/>
                <w:rFonts w:ascii="Calibri" w:hAnsi="Calibri" w:cs="Calibri"/>
                <w:noProof/>
              </w:rPr>
              <w:t>12. Relationship to International Humanitarian Law</w:t>
            </w:r>
            <w:r w:rsidRPr="00AE18A7">
              <w:rPr>
                <w:rFonts w:ascii="Calibri" w:hAnsi="Calibri" w:cs="Calibri"/>
                <w:noProof/>
                <w:webHidden/>
              </w:rPr>
              <w:tab/>
            </w:r>
            <w:r w:rsidRPr="00AE18A7">
              <w:rPr>
                <w:rFonts w:ascii="Calibri" w:hAnsi="Calibri" w:cs="Calibri"/>
                <w:noProof/>
                <w:webHidden/>
              </w:rPr>
              <w:fldChar w:fldCharType="begin"/>
            </w:r>
            <w:r w:rsidRPr="00AE18A7">
              <w:rPr>
                <w:rFonts w:ascii="Calibri" w:hAnsi="Calibri" w:cs="Calibri"/>
                <w:noProof/>
                <w:webHidden/>
              </w:rPr>
              <w:instrText xml:space="preserve"> PAGEREF _Toc229741689 \h </w:instrText>
            </w:r>
            <w:r w:rsidRPr="00AE18A7">
              <w:rPr>
                <w:rFonts w:ascii="Calibri" w:hAnsi="Calibri" w:cs="Calibri"/>
                <w:noProof/>
                <w:webHidden/>
              </w:rPr>
            </w:r>
            <w:r w:rsidRPr="00AE18A7">
              <w:rPr>
                <w:rFonts w:ascii="Calibri" w:hAnsi="Calibri" w:cs="Calibri"/>
                <w:noProof/>
                <w:webHidden/>
              </w:rPr>
              <w:fldChar w:fldCharType="separate"/>
            </w:r>
            <w:r w:rsidRPr="00AE18A7">
              <w:rPr>
                <w:rFonts w:ascii="Calibri" w:hAnsi="Calibri" w:cs="Calibri"/>
                <w:noProof/>
                <w:webHidden/>
              </w:rPr>
              <w:t>11</w:t>
            </w:r>
            <w:r w:rsidRPr="00AE18A7">
              <w:rPr>
                <w:rFonts w:ascii="Calibri" w:hAnsi="Calibri" w:cs="Calibri"/>
                <w:noProof/>
                <w:webHidden/>
              </w:rPr>
              <w:fldChar w:fldCharType="end"/>
            </w:r>
          </w:hyperlink>
        </w:p>
        <w:p w14:paraId="05A06BB1" w14:textId="1F7C00A3" w:rsidR="00AE18A7" w:rsidRPr="00AE18A7" w:rsidRDefault="00AE18A7">
          <w:pPr>
            <w:pStyle w:val="TOC1"/>
            <w:tabs>
              <w:tab w:val="right" w:leader="dot" w:pos="9628"/>
            </w:tabs>
            <w:rPr>
              <w:rFonts w:ascii="Calibri" w:eastAsiaTheme="minorEastAsia" w:hAnsi="Calibri" w:cs="Calibri"/>
              <w:noProof/>
              <w:color w:val="auto"/>
              <w:kern w:val="2"/>
              <w:sz w:val="24"/>
              <w:szCs w:val="24"/>
              <w14:ligatures w14:val="standardContextual"/>
            </w:rPr>
          </w:pPr>
          <w:hyperlink w:anchor="_Toc229741690" w:history="1">
            <w:r w:rsidRPr="00AE18A7">
              <w:rPr>
                <w:rStyle w:val="Hyperlink"/>
                <w:rFonts w:ascii="Calibri" w:hAnsi="Calibri" w:cs="Calibri"/>
                <w:noProof/>
              </w:rPr>
              <w:t>13. Governing Rules</w:t>
            </w:r>
            <w:r w:rsidRPr="00AE18A7">
              <w:rPr>
                <w:rFonts w:ascii="Calibri" w:hAnsi="Calibri" w:cs="Calibri"/>
                <w:noProof/>
                <w:webHidden/>
              </w:rPr>
              <w:tab/>
            </w:r>
            <w:r w:rsidRPr="00AE18A7">
              <w:rPr>
                <w:rFonts w:ascii="Calibri" w:hAnsi="Calibri" w:cs="Calibri"/>
                <w:noProof/>
                <w:webHidden/>
              </w:rPr>
              <w:fldChar w:fldCharType="begin"/>
            </w:r>
            <w:r w:rsidRPr="00AE18A7">
              <w:rPr>
                <w:rFonts w:ascii="Calibri" w:hAnsi="Calibri" w:cs="Calibri"/>
                <w:noProof/>
                <w:webHidden/>
              </w:rPr>
              <w:instrText xml:space="preserve"> PAGEREF _Toc229741690 \h </w:instrText>
            </w:r>
            <w:r w:rsidRPr="00AE18A7">
              <w:rPr>
                <w:rFonts w:ascii="Calibri" w:hAnsi="Calibri" w:cs="Calibri"/>
                <w:noProof/>
                <w:webHidden/>
              </w:rPr>
            </w:r>
            <w:r w:rsidRPr="00AE18A7">
              <w:rPr>
                <w:rFonts w:ascii="Calibri" w:hAnsi="Calibri" w:cs="Calibri"/>
                <w:noProof/>
                <w:webHidden/>
              </w:rPr>
              <w:fldChar w:fldCharType="separate"/>
            </w:r>
            <w:r w:rsidRPr="00AE18A7">
              <w:rPr>
                <w:rFonts w:ascii="Calibri" w:hAnsi="Calibri" w:cs="Calibri"/>
                <w:noProof/>
                <w:webHidden/>
              </w:rPr>
              <w:t>12</w:t>
            </w:r>
            <w:r w:rsidRPr="00AE18A7">
              <w:rPr>
                <w:rFonts w:ascii="Calibri" w:hAnsi="Calibri" w:cs="Calibri"/>
                <w:noProof/>
                <w:webHidden/>
              </w:rPr>
              <w:fldChar w:fldCharType="end"/>
            </w:r>
          </w:hyperlink>
        </w:p>
        <w:p w14:paraId="765010FB" w14:textId="41E7B3A2" w:rsidR="00AE18A7" w:rsidRPr="00AE18A7" w:rsidRDefault="00AE18A7">
          <w:pPr>
            <w:pStyle w:val="TOC1"/>
            <w:tabs>
              <w:tab w:val="right" w:leader="dot" w:pos="9628"/>
            </w:tabs>
            <w:rPr>
              <w:rFonts w:ascii="Calibri" w:eastAsiaTheme="minorEastAsia" w:hAnsi="Calibri" w:cs="Calibri"/>
              <w:noProof/>
              <w:color w:val="auto"/>
              <w:kern w:val="2"/>
              <w:sz w:val="24"/>
              <w:szCs w:val="24"/>
              <w14:ligatures w14:val="standardContextual"/>
            </w:rPr>
          </w:pPr>
          <w:hyperlink w:anchor="_Toc229741691" w:history="1">
            <w:r w:rsidRPr="00AE18A7">
              <w:rPr>
                <w:rStyle w:val="Hyperlink"/>
                <w:rFonts w:ascii="Calibri" w:hAnsi="Calibri" w:cs="Calibri"/>
                <w:noProof/>
              </w:rPr>
              <w:t>14. Gaps Requiring Further Development</w:t>
            </w:r>
            <w:r w:rsidRPr="00AE18A7">
              <w:rPr>
                <w:rFonts w:ascii="Calibri" w:hAnsi="Calibri" w:cs="Calibri"/>
                <w:noProof/>
                <w:webHidden/>
              </w:rPr>
              <w:tab/>
            </w:r>
            <w:r w:rsidRPr="00AE18A7">
              <w:rPr>
                <w:rFonts w:ascii="Calibri" w:hAnsi="Calibri" w:cs="Calibri"/>
                <w:noProof/>
                <w:webHidden/>
              </w:rPr>
              <w:fldChar w:fldCharType="begin"/>
            </w:r>
            <w:r w:rsidRPr="00AE18A7">
              <w:rPr>
                <w:rFonts w:ascii="Calibri" w:hAnsi="Calibri" w:cs="Calibri"/>
                <w:noProof/>
                <w:webHidden/>
              </w:rPr>
              <w:instrText xml:space="preserve"> PAGEREF _Toc229741691 \h </w:instrText>
            </w:r>
            <w:r w:rsidRPr="00AE18A7">
              <w:rPr>
                <w:rFonts w:ascii="Calibri" w:hAnsi="Calibri" w:cs="Calibri"/>
                <w:noProof/>
                <w:webHidden/>
              </w:rPr>
            </w:r>
            <w:r w:rsidRPr="00AE18A7">
              <w:rPr>
                <w:rFonts w:ascii="Calibri" w:hAnsi="Calibri" w:cs="Calibri"/>
                <w:noProof/>
                <w:webHidden/>
              </w:rPr>
              <w:fldChar w:fldCharType="separate"/>
            </w:r>
            <w:r w:rsidRPr="00AE18A7">
              <w:rPr>
                <w:rFonts w:ascii="Calibri" w:hAnsi="Calibri" w:cs="Calibri"/>
                <w:noProof/>
                <w:webHidden/>
              </w:rPr>
              <w:t>12</w:t>
            </w:r>
            <w:r w:rsidRPr="00AE18A7">
              <w:rPr>
                <w:rFonts w:ascii="Calibri" w:hAnsi="Calibri" w:cs="Calibri"/>
                <w:noProof/>
                <w:webHidden/>
              </w:rPr>
              <w:fldChar w:fldCharType="end"/>
            </w:r>
          </w:hyperlink>
        </w:p>
        <w:p w14:paraId="78A86969" w14:textId="54570FE8" w:rsidR="00AE18A7" w:rsidRPr="00AE18A7" w:rsidRDefault="00AE18A7">
          <w:pPr>
            <w:pStyle w:val="TOC1"/>
            <w:tabs>
              <w:tab w:val="right" w:leader="dot" w:pos="9628"/>
            </w:tabs>
            <w:rPr>
              <w:rFonts w:ascii="Calibri" w:eastAsiaTheme="minorEastAsia" w:hAnsi="Calibri" w:cs="Calibri"/>
              <w:noProof/>
              <w:color w:val="auto"/>
              <w:kern w:val="2"/>
              <w:sz w:val="24"/>
              <w:szCs w:val="24"/>
              <w14:ligatures w14:val="standardContextual"/>
            </w:rPr>
          </w:pPr>
          <w:hyperlink w:anchor="_Toc229741692" w:history="1">
            <w:r w:rsidRPr="00AE18A7">
              <w:rPr>
                <w:rStyle w:val="Hyperlink"/>
                <w:rFonts w:ascii="Calibri" w:hAnsi="Calibri" w:cs="Calibri"/>
                <w:noProof/>
              </w:rPr>
              <w:t>15. Comparison: Enterprise EAAP vs. EAAP-LGF</w:t>
            </w:r>
            <w:r w:rsidRPr="00AE18A7">
              <w:rPr>
                <w:rFonts w:ascii="Calibri" w:hAnsi="Calibri" w:cs="Calibri"/>
                <w:noProof/>
                <w:webHidden/>
              </w:rPr>
              <w:tab/>
            </w:r>
            <w:r w:rsidRPr="00AE18A7">
              <w:rPr>
                <w:rFonts w:ascii="Calibri" w:hAnsi="Calibri" w:cs="Calibri"/>
                <w:noProof/>
                <w:webHidden/>
              </w:rPr>
              <w:fldChar w:fldCharType="begin"/>
            </w:r>
            <w:r w:rsidRPr="00AE18A7">
              <w:rPr>
                <w:rFonts w:ascii="Calibri" w:hAnsi="Calibri" w:cs="Calibri"/>
                <w:noProof/>
                <w:webHidden/>
              </w:rPr>
              <w:instrText xml:space="preserve"> PAGEREF _Toc229741692 \h </w:instrText>
            </w:r>
            <w:r w:rsidRPr="00AE18A7">
              <w:rPr>
                <w:rFonts w:ascii="Calibri" w:hAnsi="Calibri" w:cs="Calibri"/>
                <w:noProof/>
                <w:webHidden/>
              </w:rPr>
            </w:r>
            <w:r w:rsidRPr="00AE18A7">
              <w:rPr>
                <w:rFonts w:ascii="Calibri" w:hAnsi="Calibri" w:cs="Calibri"/>
                <w:noProof/>
                <w:webHidden/>
              </w:rPr>
              <w:fldChar w:fldCharType="separate"/>
            </w:r>
            <w:r w:rsidRPr="00AE18A7">
              <w:rPr>
                <w:rFonts w:ascii="Calibri" w:hAnsi="Calibri" w:cs="Calibri"/>
                <w:noProof/>
                <w:webHidden/>
              </w:rPr>
              <w:t>13</w:t>
            </w:r>
            <w:r w:rsidRPr="00AE18A7">
              <w:rPr>
                <w:rFonts w:ascii="Calibri" w:hAnsi="Calibri" w:cs="Calibri"/>
                <w:noProof/>
                <w:webHidden/>
              </w:rPr>
              <w:fldChar w:fldCharType="end"/>
            </w:r>
          </w:hyperlink>
        </w:p>
        <w:p w14:paraId="6FE0E7A3" w14:textId="3AB8B586" w:rsidR="00AE18A7" w:rsidRPr="00AE18A7" w:rsidRDefault="00AE18A7">
          <w:pPr>
            <w:pStyle w:val="TOC1"/>
            <w:tabs>
              <w:tab w:val="right" w:leader="dot" w:pos="9628"/>
            </w:tabs>
            <w:rPr>
              <w:rFonts w:ascii="Calibri" w:eastAsiaTheme="minorEastAsia" w:hAnsi="Calibri" w:cs="Calibri"/>
              <w:noProof/>
              <w:color w:val="auto"/>
              <w:kern w:val="2"/>
              <w:sz w:val="24"/>
              <w:szCs w:val="24"/>
              <w14:ligatures w14:val="standardContextual"/>
            </w:rPr>
          </w:pPr>
          <w:hyperlink w:anchor="_Toc229741693" w:history="1">
            <w:r w:rsidRPr="00AE18A7">
              <w:rPr>
                <w:rStyle w:val="Hyperlink"/>
                <w:rFonts w:ascii="Calibri" w:hAnsi="Calibri" w:cs="Calibri"/>
                <w:noProof/>
              </w:rPr>
              <w:t>16. Recommendations to Policymakers</w:t>
            </w:r>
            <w:r w:rsidRPr="00AE18A7">
              <w:rPr>
                <w:rFonts w:ascii="Calibri" w:hAnsi="Calibri" w:cs="Calibri"/>
                <w:noProof/>
                <w:webHidden/>
              </w:rPr>
              <w:tab/>
            </w:r>
            <w:r w:rsidRPr="00AE18A7">
              <w:rPr>
                <w:rFonts w:ascii="Calibri" w:hAnsi="Calibri" w:cs="Calibri"/>
                <w:noProof/>
                <w:webHidden/>
              </w:rPr>
              <w:fldChar w:fldCharType="begin"/>
            </w:r>
            <w:r w:rsidRPr="00AE18A7">
              <w:rPr>
                <w:rFonts w:ascii="Calibri" w:hAnsi="Calibri" w:cs="Calibri"/>
                <w:noProof/>
                <w:webHidden/>
              </w:rPr>
              <w:instrText xml:space="preserve"> PAGEREF _Toc229741693 \h </w:instrText>
            </w:r>
            <w:r w:rsidRPr="00AE18A7">
              <w:rPr>
                <w:rFonts w:ascii="Calibri" w:hAnsi="Calibri" w:cs="Calibri"/>
                <w:noProof/>
                <w:webHidden/>
              </w:rPr>
            </w:r>
            <w:r w:rsidRPr="00AE18A7">
              <w:rPr>
                <w:rFonts w:ascii="Calibri" w:hAnsi="Calibri" w:cs="Calibri"/>
                <w:noProof/>
                <w:webHidden/>
              </w:rPr>
              <w:fldChar w:fldCharType="separate"/>
            </w:r>
            <w:r w:rsidRPr="00AE18A7">
              <w:rPr>
                <w:rFonts w:ascii="Calibri" w:hAnsi="Calibri" w:cs="Calibri"/>
                <w:noProof/>
                <w:webHidden/>
              </w:rPr>
              <w:t>13</w:t>
            </w:r>
            <w:r w:rsidRPr="00AE18A7">
              <w:rPr>
                <w:rFonts w:ascii="Calibri" w:hAnsi="Calibri" w:cs="Calibri"/>
                <w:noProof/>
                <w:webHidden/>
              </w:rPr>
              <w:fldChar w:fldCharType="end"/>
            </w:r>
          </w:hyperlink>
        </w:p>
        <w:p w14:paraId="22235A38" w14:textId="5AC22DA1" w:rsidR="00AE18A7" w:rsidRPr="00AE18A7" w:rsidRDefault="00AE18A7">
          <w:pPr>
            <w:pStyle w:val="TOC1"/>
            <w:tabs>
              <w:tab w:val="right" w:leader="dot" w:pos="9628"/>
            </w:tabs>
            <w:rPr>
              <w:rFonts w:ascii="Calibri" w:eastAsiaTheme="minorEastAsia" w:hAnsi="Calibri" w:cs="Calibri"/>
              <w:noProof/>
              <w:color w:val="auto"/>
              <w:kern w:val="2"/>
              <w:sz w:val="24"/>
              <w:szCs w:val="24"/>
              <w14:ligatures w14:val="standardContextual"/>
            </w:rPr>
          </w:pPr>
          <w:hyperlink w:anchor="_Toc229741694" w:history="1">
            <w:r w:rsidRPr="00AE18A7">
              <w:rPr>
                <w:rStyle w:val="Hyperlink"/>
                <w:rFonts w:ascii="Calibri" w:hAnsi="Calibri" w:cs="Calibri"/>
                <w:noProof/>
              </w:rPr>
              <w:t>17. Conclusion</w:t>
            </w:r>
            <w:r w:rsidRPr="00AE18A7">
              <w:rPr>
                <w:rFonts w:ascii="Calibri" w:hAnsi="Calibri" w:cs="Calibri"/>
                <w:noProof/>
                <w:webHidden/>
              </w:rPr>
              <w:tab/>
            </w:r>
            <w:r w:rsidRPr="00AE18A7">
              <w:rPr>
                <w:rFonts w:ascii="Calibri" w:hAnsi="Calibri" w:cs="Calibri"/>
                <w:noProof/>
                <w:webHidden/>
              </w:rPr>
              <w:fldChar w:fldCharType="begin"/>
            </w:r>
            <w:r w:rsidRPr="00AE18A7">
              <w:rPr>
                <w:rFonts w:ascii="Calibri" w:hAnsi="Calibri" w:cs="Calibri"/>
                <w:noProof/>
                <w:webHidden/>
              </w:rPr>
              <w:instrText xml:space="preserve"> PAGEREF _Toc229741694 \h </w:instrText>
            </w:r>
            <w:r w:rsidRPr="00AE18A7">
              <w:rPr>
                <w:rFonts w:ascii="Calibri" w:hAnsi="Calibri" w:cs="Calibri"/>
                <w:noProof/>
                <w:webHidden/>
              </w:rPr>
            </w:r>
            <w:r w:rsidRPr="00AE18A7">
              <w:rPr>
                <w:rFonts w:ascii="Calibri" w:hAnsi="Calibri" w:cs="Calibri"/>
                <w:noProof/>
                <w:webHidden/>
              </w:rPr>
              <w:fldChar w:fldCharType="separate"/>
            </w:r>
            <w:r w:rsidRPr="00AE18A7">
              <w:rPr>
                <w:rFonts w:ascii="Calibri" w:hAnsi="Calibri" w:cs="Calibri"/>
                <w:noProof/>
                <w:webHidden/>
              </w:rPr>
              <w:t>14</w:t>
            </w:r>
            <w:r w:rsidRPr="00AE18A7">
              <w:rPr>
                <w:rFonts w:ascii="Calibri" w:hAnsi="Calibri" w:cs="Calibri"/>
                <w:noProof/>
                <w:webHidden/>
              </w:rPr>
              <w:fldChar w:fldCharType="end"/>
            </w:r>
          </w:hyperlink>
        </w:p>
        <w:p w14:paraId="4148CF84" w14:textId="25FF076E" w:rsidR="00AE18A7" w:rsidRPr="00AE18A7" w:rsidRDefault="00AE18A7">
          <w:pPr>
            <w:pStyle w:val="TOC1"/>
            <w:tabs>
              <w:tab w:val="right" w:leader="dot" w:pos="9628"/>
            </w:tabs>
            <w:rPr>
              <w:rFonts w:ascii="Calibri" w:eastAsiaTheme="minorEastAsia" w:hAnsi="Calibri" w:cs="Calibri"/>
              <w:noProof/>
              <w:color w:val="auto"/>
              <w:kern w:val="2"/>
              <w:sz w:val="24"/>
              <w:szCs w:val="24"/>
              <w14:ligatures w14:val="standardContextual"/>
            </w:rPr>
          </w:pPr>
          <w:hyperlink w:anchor="_Toc229741695" w:history="1">
            <w:r w:rsidRPr="00AE18A7">
              <w:rPr>
                <w:rStyle w:val="Hyperlink"/>
                <w:rFonts w:ascii="Calibri" w:hAnsi="Calibri" w:cs="Calibri"/>
                <w:noProof/>
              </w:rPr>
              <w:t>References</w:t>
            </w:r>
            <w:r w:rsidRPr="00AE18A7">
              <w:rPr>
                <w:rFonts w:ascii="Calibri" w:hAnsi="Calibri" w:cs="Calibri"/>
                <w:noProof/>
                <w:webHidden/>
              </w:rPr>
              <w:tab/>
            </w:r>
            <w:r w:rsidRPr="00AE18A7">
              <w:rPr>
                <w:rFonts w:ascii="Calibri" w:hAnsi="Calibri" w:cs="Calibri"/>
                <w:noProof/>
                <w:webHidden/>
              </w:rPr>
              <w:fldChar w:fldCharType="begin"/>
            </w:r>
            <w:r w:rsidRPr="00AE18A7">
              <w:rPr>
                <w:rFonts w:ascii="Calibri" w:hAnsi="Calibri" w:cs="Calibri"/>
                <w:noProof/>
                <w:webHidden/>
              </w:rPr>
              <w:instrText xml:space="preserve"> PAGEREF _Toc229741695 \h </w:instrText>
            </w:r>
            <w:r w:rsidRPr="00AE18A7">
              <w:rPr>
                <w:rFonts w:ascii="Calibri" w:hAnsi="Calibri" w:cs="Calibri"/>
                <w:noProof/>
                <w:webHidden/>
              </w:rPr>
            </w:r>
            <w:r w:rsidRPr="00AE18A7">
              <w:rPr>
                <w:rFonts w:ascii="Calibri" w:hAnsi="Calibri" w:cs="Calibri"/>
                <w:noProof/>
                <w:webHidden/>
              </w:rPr>
              <w:fldChar w:fldCharType="separate"/>
            </w:r>
            <w:r w:rsidRPr="00AE18A7">
              <w:rPr>
                <w:rFonts w:ascii="Calibri" w:hAnsi="Calibri" w:cs="Calibri"/>
                <w:noProof/>
                <w:webHidden/>
              </w:rPr>
              <w:t>15</w:t>
            </w:r>
            <w:r w:rsidRPr="00AE18A7">
              <w:rPr>
                <w:rFonts w:ascii="Calibri" w:hAnsi="Calibri" w:cs="Calibri"/>
                <w:noProof/>
                <w:webHidden/>
              </w:rPr>
              <w:fldChar w:fldCharType="end"/>
            </w:r>
          </w:hyperlink>
        </w:p>
        <w:p w14:paraId="214DC522" w14:textId="23384869" w:rsidR="00AE18A7" w:rsidRPr="00AE18A7" w:rsidRDefault="00AE18A7">
          <w:pPr>
            <w:pStyle w:val="TOC1"/>
            <w:tabs>
              <w:tab w:val="right" w:leader="dot" w:pos="9628"/>
            </w:tabs>
            <w:rPr>
              <w:rFonts w:ascii="Calibri" w:eastAsiaTheme="minorEastAsia" w:hAnsi="Calibri" w:cs="Calibri"/>
              <w:noProof/>
              <w:color w:val="auto"/>
              <w:kern w:val="2"/>
              <w:sz w:val="24"/>
              <w:szCs w:val="24"/>
              <w14:ligatures w14:val="standardContextual"/>
            </w:rPr>
          </w:pPr>
          <w:hyperlink w:anchor="_Toc229741696" w:history="1">
            <w:r w:rsidRPr="00AE18A7">
              <w:rPr>
                <w:rStyle w:val="Hyperlink"/>
                <w:rFonts w:ascii="Calibri" w:hAnsi="Calibri" w:cs="Calibri"/>
                <w:noProof/>
              </w:rPr>
              <w:t>Acknowledgements</w:t>
            </w:r>
            <w:r w:rsidRPr="00AE18A7">
              <w:rPr>
                <w:rFonts w:ascii="Calibri" w:hAnsi="Calibri" w:cs="Calibri"/>
                <w:noProof/>
                <w:webHidden/>
              </w:rPr>
              <w:tab/>
            </w:r>
            <w:r w:rsidRPr="00AE18A7">
              <w:rPr>
                <w:rFonts w:ascii="Calibri" w:hAnsi="Calibri" w:cs="Calibri"/>
                <w:noProof/>
                <w:webHidden/>
              </w:rPr>
              <w:fldChar w:fldCharType="begin"/>
            </w:r>
            <w:r w:rsidRPr="00AE18A7">
              <w:rPr>
                <w:rFonts w:ascii="Calibri" w:hAnsi="Calibri" w:cs="Calibri"/>
                <w:noProof/>
                <w:webHidden/>
              </w:rPr>
              <w:instrText xml:space="preserve"> PAGEREF _Toc229741696 \h </w:instrText>
            </w:r>
            <w:r w:rsidRPr="00AE18A7">
              <w:rPr>
                <w:rFonts w:ascii="Calibri" w:hAnsi="Calibri" w:cs="Calibri"/>
                <w:noProof/>
                <w:webHidden/>
              </w:rPr>
            </w:r>
            <w:r w:rsidRPr="00AE18A7">
              <w:rPr>
                <w:rFonts w:ascii="Calibri" w:hAnsi="Calibri" w:cs="Calibri"/>
                <w:noProof/>
                <w:webHidden/>
              </w:rPr>
              <w:fldChar w:fldCharType="separate"/>
            </w:r>
            <w:r w:rsidRPr="00AE18A7">
              <w:rPr>
                <w:rFonts w:ascii="Calibri" w:hAnsi="Calibri" w:cs="Calibri"/>
                <w:noProof/>
                <w:webHidden/>
              </w:rPr>
              <w:t>16</w:t>
            </w:r>
            <w:r w:rsidRPr="00AE18A7">
              <w:rPr>
                <w:rFonts w:ascii="Calibri" w:hAnsi="Calibri" w:cs="Calibri"/>
                <w:noProof/>
                <w:webHidden/>
              </w:rPr>
              <w:fldChar w:fldCharType="end"/>
            </w:r>
          </w:hyperlink>
        </w:p>
        <w:p w14:paraId="3F907C73" w14:textId="1A037829" w:rsidR="00AE18A7" w:rsidRPr="00AE18A7" w:rsidRDefault="00AE18A7">
          <w:pPr>
            <w:pStyle w:val="TOC1"/>
            <w:tabs>
              <w:tab w:val="right" w:leader="dot" w:pos="9628"/>
            </w:tabs>
            <w:rPr>
              <w:rFonts w:ascii="Calibri" w:eastAsiaTheme="minorEastAsia" w:hAnsi="Calibri" w:cs="Calibri"/>
              <w:noProof/>
              <w:color w:val="auto"/>
              <w:kern w:val="2"/>
              <w:sz w:val="24"/>
              <w:szCs w:val="24"/>
              <w14:ligatures w14:val="standardContextual"/>
            </w:rPr>
          </w:pPr>
          <w:hyperlink w:anchor="_Toc229741697" w:history="1">
            <w:r w:rsidRPr="00AE18A7">
              <w:rPr>
                <w:rStyle w:val="Hyperlink"/>
                <w:rFonts w:ascii="Calibri" w:hAnsi="Calibri" w:cs="Calibri"/>
                <w:noProof/>
              </w:rPr>
              <w:t>Appendix A: Known Unknowns as Hard Blocks Reference Table</w:t>
            </w:r>
            <w:r w:rsidRPr="00AE18A7">
              <w:rPr>
                <w:rFonts w:ascii="Calibri" w:hAnsi="Calibri" w:cs="Calibri"/>
                <w:noProof/>
                <w:webHidden/>
              </w:rPr>
              <w:tab/>
            </w:r>
            <w:r w:rsidRPr="00AE18A7">
              <w:rPr>
                <w:rFonts w:ascii="Calibri" w:hAnsi="Calibri" w:cs="Calibri"/>
                <w:noProof/>
                <w:webHidden/>
              </w:rPr>
              <w:fldChar w:fldCharType="begin"/>
            </w:r>
            <w:r w:rsidRPr="00AE18A7">
              <w:rPr>
                <w:rFonts w:ascii="Calibri" w:hAnsi="Calibri" w:cs="Calibri"/>
                <w:noProof/>
                <w:webHidden/>
              </w:rPr>
              <w:instrText xml:space="preserve"> PAGEREF _Toc229741697 \h </w:instrText>
            </w:r>
            <w:r w:rsidRPr="00AE18A7">
              <w:rPr>
                <w:rFonts w:ascii="Calibri" w:hAnsi="Calibri" w:cs="Calibri"/>
                <w:noProof/>
                <w:webHidden/>
              </w:rPr>
            </w:r>
            <w:r w:rsidRPr="00AE18A7">
              <w:rPr>
                <w:rFonts w:ascii="Calibri" w:hAnsi="Calibri" w:cs="Calibri"/>
                <w:noProof/>
                <w:webHidden/>
              </w:rPr>
              <w:fldChar w:fldCharType="separate"/>
            </w:r>
            <w:r w:rsidRPr="00AE18A7">
              <w:rPr>
                <w:rFonts w:ascii="Calibri" w:hAnsi="Calibri" w:cs="Calibri"/>
                <w:noProof/>
                <w:webHidden/>
              </w:rPr>
              <w:t>17</w:t>
            </w:r>
            <w:r w:rsidRPr="00AE18A7">
              <w:rPr>
                <w:rFonts w:ascii="Calibri" w:hAnsi="Calibri" w:cs="Calibri"/>
                <w:noProof/>
                <w:webHidden/>
              </w:rPr>
              <w:fldChar w:fldCharType="end"/>
            </w:r>
          </w:hyperlink>
        </w:p>
        <w:p w14:paraId="25030C1D" w14:textId="41FB76AF" w:rsidR="00AE18A7" w:rsidRPr="00AE18A7" w:rsidRDefault="00AE18A7">
          <w:pPr>
            <w:pStyle w:val="TOC1"/>
            <w:tabs>
              <w:tab w:val="right" w:leader="dot" w:pos="9628"/>
            </w:tabs>
            <w:rPr>
              <w:rFonts w:ascii="Calibri" w:eastAsiaTheme="minorEastAsia" w:hAnsi="Calibri" w:cs="Calibri"/>
              <w:noProof/>
              <w:color w:val="auto"/>
              <w:kern w:val="2"/>
              <w:sz w:val="24"/>
              <w:szCs w:val="24"/>
              <w14:ligatures w14:val="standardContextual"/>
            </w:rPr>
          </w:pPr>
          <w:hyperlink w:anchor="_Toc229741698" w:history="1">
            <w:r w:rsidRPr="00AE18A7">
              <w:rPr>
                <w:rStyle w:val="Hyperlink"/>
                <w:rFonts w:ascii="Calibri" w:hAnsi="Calibri" w:cs="Calibri"/>
                <w:noProof/>
              </w:rPr>
              <w:t>Appendix B: Illustrative Legal Compliance Assessment Criteria</w:t>
            </w:r>
            <w:r w:rsidRPr="00AE18A7">
              <w:rPr>
                <w:rFonts w:ascii="Calibri" w:hAnsi="Calibri" w:cs="Calibri"/>
                <w:noProof/>
                <w:webHidden/>
              </w:rPr>
              <w:tab/>
            </w:r>
            <w:r w:rsidRPr="00AE18A7">
              <w:rPr>
                <w:rFonts w:ascii="Calibri" w:hAnsi="Calibri" w:cs="Calibri"/>
                <w:noProof/>
                <w:webHidden/>
              </w:rPr>
              <w:fldChar w:fldCharType="begin"/>
            </w:r>
            <w:r w:rsidRPr="00AE18A7">
              <w:rPr>
                <w:rFonts w:ascii="Calibri" w:hAnsi="Calibri" w:cs="Calibri"/>
                <w:noProof/>
                <w:webHidden/>
              </w:rPr>
              <w:instrText xml:space="preserve"> PAGEREF _Toc229741698 \h </w:instrText>
            </w:r>
            <w:r w:rsidRPr="00AE18A7">
              <w:rPr>
                <w:rFonts w:ascii="Calibri" w:hAnsi="Calibri" w:cs="Calibri"/>
                <w:noProof/>
                <w:webHidden/>
              </w:rPr>
            </w:r>
            <w:r w:rsidRPr="00AE18A7">
              <w:rPr>
                <w:rFonts w:ascii="Calibri" w:hAnsi="Calibri" w:cs="Calibri"/>
                <w:noProof/>
                <w:webHidden/>
              </w:rPr>
              <w:fldChar w:fldCharType="separate"/>
            </w:r>
            <w:r w:rsidRPr="00AE18A7">
              <w:rPr>
                <w:rFonts w:ascii="Calibri" w:hAnsi="Calibri" w:cs="Calibri"/>
                <w:noProof/>
                <w:webHidden/>
              </w:rPr>
              <w:t>18</w:t>
            </w:r>
            <w:r w:rsidRPr="00AE18A7">
              <w:rPr>
                <w:rFonts w:ascii="Calibri" w:hAnsi="Calibri" w:cs="Calibri"/>
                <w:noProof/>
                <w:webHidden/>
              </w:rPr>
              <w:fldChar w:fldCharType="end"/>
            </w:r>
          </w:hyperlink>
        </w:p>
        <w:p w14:paraId="00F48131" w14:textId="4249D137" w:rsidR="00AE18A7" w:rsidRPr="00AE18A7" w:rsidRDefault="00AE18A7">
          <w:pPr>
            <w:pStyle w:val="TOC2"/>
            <w:tabs>
              <w:tab w:val="right" w:leader="dot" w:pos="9628"/>
            </w:tabs>
            <w:rPr>
              <w:rFonts w:ascii="Calibri" w:eastAsiaTheme="minorEastAsia" w:hAnsi="Calibri" w:cs="Calibri"/>
              <w:noProof/>
              <w:color w:val="auto"/>
              <w:kern w:val="2"/>
              <w:sz w:val="24"/>
              <w:szCs w:val="24"/>
              <w14:ligatures w14:val="standardContextual"/>
            </w:rPr>
          </w:pPr>
          <w:hyperlink w:anchor="_Toc229741699" w:history="1">
            <w:r w:rsidRPr="00AE18A7">
              <w:rPr>
                <w:rStyle w:val="Hyperlink"/>
                <w:rFonts w:ascii="Calibri" w:hAnsi="Calibri" w:cs="Calibri"/>
                <w:noProof/>
              </w:rPr>
              <w:t>B.1 Military Objective</w:t>
            </w:r>
            <w:r w:rsidRPr="00AE18A7">
              <w:rPr>
                <w:rFonts w:ascii="Calibri" w:hAnsi="Calibri" w:cs="Calibri"/>
                <w:noProof/>
                <w:webHidden/>
              </w:rPr>
              <w:tab/>
            </w:r>
            <w:r w:rsidRPr="00AE18A7">
              <w:rPr>
                <w:rFonts w:ascii="Calibri" w:hAnsi="Calibri" w:cs="Calibri"/>
                <w:noProof/>
                <w:webHidden/>
              </w:rPr>
              <w:fldChar w:fldCharType="begin"/>
            </w:r>
            <w:r w:rsidRPr="00AE18A7">
              <w:rPr>
                <w:rFonts w:ascii="Calibri" w:hAnsi="Calibri" w:cs="Calibri"/>
                <w:noProof/>
                <w:webHidden/>
              </w:rPr>
              <w:instrText xml:space="preserve"> PAGEREF _Toc229741699 \h </w:instrText>
            </w:r>
            <w:r w:rsidRPr="00AE18A7">
              <w:rPr>
                <w:rFonts w:ascii="Calibri" w:hAnsi="Calibri" w:cs="Calibri"/>
                <w:noProof/>
                <w:webHidden/>
              </w:rPr>
            </w:r>
            <w:r w:rsidRPr="00AE18A7">
              <w:rPr>
                <w:rFonts w:ascii="Calibri" w:hAnsi="Calibri" w:cs="Calibri"/>
                <w:noProof/>
                <w:webHidden/>
              </w:rPr>
              <w:fldChar w:fldCharType="separate"/>
            </w:r>
            <w:r w:rsidRPr="00AE18A7">
              <w:rPr>
                <w:rFonts w:ascii="Calibri" w:hAnsi="Calibri" w:cs="Calibri"/>
                <w:noProof/>
                <w:webHidden/>
              </w:rPr>
              <w:t>18</w:t>
            </w:r>
            <w:r w:rsidRPr="00AE18A7">
              <w:rPr>
                <w:rFonts w:ascii="Calibri" w:hAnsi="Calibri" w:cs="Calibri"/>
                <w:noProof/>
                <w:webHidden/>
              </w:rPr>
              <w:fldChar w:fldCharType="end"/>
            </w:r>
          </w:hyperlink>
        </w:p>
        <w:p w14:paraId="3F0CE14F" w14:textId="0F47E988" w:rsidR="00AE18A7" w:rsidRPr="00AE18A7" w:rsidRDefault="00AE18A7">
          <w:pPr>
            <w:pStyle w:val="TOC2"/>
            <w:tabs>
              <w:tab w:val="right" w:leader="dot" w:pos="9628"/>
            </w:tabs>
            <w:rPr>
              <w:rFonts w:ascii="Calibri" w:eastAsiaTheme="minorEastAsia" w:hAnsi="Calibri" w:cs="Calibri"/>
              <w:noProof/>
              <w:color w:val="auto"/>
              <w:kern w:val="2"/>
              <w:sz w:val="24"/>
              <w:szCs w:val="24"/>
              <w14:ligatures w14:val="standardContextual"/>
            </w:rPr>
          </w:pPr>
          <w:hyperlink w:anchor="_Toc229741700" w:history="1">
            <w:r w:rsidRPr="00AE18A7">
              <w:rPr>
                <w:rStyle w:val="Hyperlink"/>
                <w:rFonts w:ascii="Calibri" w:hAnsi="Calibri" w:cs="Calibri"/>
                <w:noProof/>
              </w:rPr>
              <w:t>B.2 Proportionality</w:t>
            </w:r>
            <w:r w:rsidRPr="00AE18A7">
              <w:rPr>
                <w:rFonts w:ascii="Calibri" w:hAnsi="Calibri" w:cs="Calibri"/>
                <w:noProof/>
                <w:webHidden/>
              </w:rPr>
              <w:tab/>
            </w:r>
            <w:r w:rsidRPr="00AE18A7">
              <w:rPr>
                <w:rFonts w:ascii="Calibri" w:hAnsi="Calibri" w:cs="Calibri"/>
                <w:noProof/>
                <w:webHidden/>
              </w:rPr>
              <w:fldChar w:fldCharType="begin"/>
            </w:r>
            <w:r w:rsidRPr="00AE18A7">
              <w:rPr>
                <w:rFonts w:ascii="Calibri" w:hAnsi="Calibri" w:cs="Calibri"/>
                <w:noProof/>
                <w:webHidden/>
              </w:rPr>
              <w:instrText xml:space="preserve"> PAGEREF _Toc229741700 \h </w:instrText>
            </w:r>
            <w:r w:rsidRPr="00AE18A7">
              <w:rPr>
                <w:rFonts w:ascii="Calibri" w:hAnsi="Calibri" w:cs="Calibri"/>
                <w:noProof/>
                <w:webHidden/>
              </w:rPr>
            </w:r>
            <w:r w:rsidRPr="00AE18A7">
              <w:rPr>
                <w:rFonts w:ascii="Calibri" w:hAnsi="Calibri" w:cs="Calibri"/>
                <w:noProof/>
                <w:webHidden/>
              </w:rPr>
              <w:fldChar w:fldCharType="separate"/>
            </w:r>
            <w:r w:rsidRPr="00AE18A7">
              <w:rPr>
                <w:rFonts w:ascii="Calibri" w:hAnsi="Calibri" w:cs="Calibri"/>
                <w:noProof/>
                <w:webHidden/>
              </w:rPr>
              <w:t>18</w:t>
            </w:r>
            <w:r w:rsidRPr="00AE18A7">
              <w:rPr>
                <w:rFonts w:ascii="Calibri" w:hAnsi="Calibri" w:cs="Calibri"/>
                <w:noProof/>
                <w:webHidden/>
              </w:rPr>
              <w:fldChar w:fldCharType="end"/>
            </w:r>
          </w:hyperlink>
        </w:p>
        <w:p w14:paraId="6C2C697E" w14:textId="4CBCE3BD" w:rsidR="00AE18A7" w:rsidRPr="00AE18A7" w:rsidRDefault="00AE18A7">
          <w:pPr>
            <w:pStyle w:val="TOC2"/>
            <w:tabs>
              <w:tab w:val="right" w:leader="dot" w:pos="9628"/>
            </w:tabs>
            <w:rPr>
              <w:rFonts w:ascii="Calibri" w:eastAsiaTheme="minorEastAsia" w:hAnsi="Calibri" w:cs="Calibri"/>
              <w:noProof/>
              <w:color w:val="auto"/>
              <w:kern w:val="2"/>
              <w:sz w:val="24"/>
              <w:szCs w:val="24"/>
              <w14:ligatures w14:val="standardContextual"/>
            </w:rPr>
          </w:pPr>
          <w:hyperlink w:anchor="_Toc229741701" w:history="1">
            <w:r w:rsidRPr="00AE18A7">
              <w:rPr>
                <w:rStyle w:val="Hyperlink"/>
                <w:rFonts w:ascii="Calibri" w:hAnsi="Calibri" w:cs="Calibri"/>
                <w:noProof/>
              </w:rPr>
              <w:t>B.3 Precautions in Attack</w:t>
            </w:r>
            <w:r w:rsidRPr="00AE18A7">
              <w:rPr>
                <w:rFonts w:ascii="Calibri" w:hAnsi="Calibri" w:cs="Calibri"/>
                <w:noProof/>
                <w:webHidden/>
              </w:rPr>
              <w:tab/>
            </w:r>
            <w:r w:rsidRPr="00AE18A7">
              <w:rPr>
                <w:rFonts w:ascii="Calibri" w:hAnsi="Calibri" w:cs="Calibri"/>
                <w:noProof/>
                <w:webHidden/>
              </w:rPr>
              <w:fldChar w:fldCharType="begin"/>
            </w:r>
            <w:r w:rsidRPr="00AE18A7">
              <w:rPr>
                <w:rFonts w:ascii="Calibri" w:hAnsi="Calibri" w:cs="Calibri"/>
                <w:noProof/>
                <w:webHidden/>
              </w:rPr>
              <w:instrText xml:space="preserve"> PAGEREF _Toc229741701 \h </w:instrText>
            </w:r>
            <w:r w:rsidRPr="00AE18A7">
              <w:rPr>
                <w:rFonts w:ascii="Calibri" w:hAnsi="Calibri" w:cs="Calibri"/>
                <w:noProof/>
                <w:webHidden/>
              </w:rPr>
            </w:r>
            <w:r w:rsidRPr="00AE18A7">
              <w:rPr>
                <w:rFonts w:ascii="Calibri" w:hAnsi="Calibri" w:cs="Calibri"/>
                <w:noProof/>
                <w:webHidden/>
              </w:rPr>
              <w:fldChar w:fldCharType="separate"/>
            </w:r>
            <w:r w:rsidRPr="00AE18A7">
              <w:rPr>
                <w:rFonts w:ascii="Calibri" w:hAnsi="Calibri" w:cs="Calibri"/>
                <w:noProof/>
                <w:webHidden/>
              </w:rPr>
              <w:t>18</w:t>
            </w:r>
            <w:r w:rsidRPr="00AE18A7">
              <w:rPr>
                <w:rFonts w:ascii="Calibri" w:hAnsi="Calibri" w:cs="Calibri"/>
                <w:noProof/>
                <w:webHidden/>
              </w:rPr>
              <w:fldChar w:fldCharType="end"/>
            </w:r>
          </w:hyperlink>
        </w:p>
        <w:p w14:paraId="7ED7EB40" w14:textId="273FEEA3" w:rsidR="00AE18A7" w:rsidRPr="00AE18A7" w:rsidRDefault="00AE18A7">
          <w:pPr>
            <w:pStyle w:val="TOC2"/>
            <w:tabs>
              <w:tab w:val="right" w:leader="dot" w:pos="9628"/>
            </w:tabs>
            <w:rPr>
              <w:rFonts w:ascii="Calibri" w:eastAsiaTheme="minorEastAsia" w:hAnsi="Calibri" w:cs="Calibri"/>
              <w:noProof/>
              <w:color w:val="auto"/>
              <w:kern w:val="2"/>
              <w:sz w:val="24"/>
              <w:szCs w:val="24"/>
              <w14:ligatures w14:val="standardContextual"/>
            </w:rPr>
          </w:pPr>
          <w:hyperlink w:anchor="_Toc229741702" w:history="1">
            <w:r w:rsidRPr="00AE18A7">
              <w:rPr>
                <w:rStyle w:val="Hyperlink"/>
                <w:rFonts w:ascii="Calibri" w:hAnsi="Calibri" w:cs="Calibri"/>
                <w:noProof/>
              </w:rPr>
              <w:t>B.4 Specific Prohibitions</w:t>
            </w:r>
            <w:r w:rsidRPr="00AE18A7">
              <w:rPr>
                <w:rFonts w:ascii="Calibri" w:hAnsi="Calibri" w:cs="Calibri"/>
                <w:noProof/>
                <w:webHidden/>
              </w:rPr>
              <w:tab/>
            </w:r>
            <w:r w:rsidRPr="00AE18A7">
              <w:rPr>
                <w:rFonts w:ascii="Calibri" w:hAnsi="Calibri" w:cs="Calibri"/>
                <w:noProof/>
                <w:webHidden/>
              </w:rPr>
              <w:fldChar w:fldCharType="begin"/>
            </w:r>
            <w:r w:rsidRPr="00AE18A7">
              <w:rPr>
                <w:rFonts w:ascii="Calibri" w:hAnsi="Calibri" w:cs="Calibri"/>
                <w:noProof/>
                <w:webHidden/>
              </w:rPr>
              <w:instrText xml:space="preserve"> PAGEREF _Toc229741702 \h </w:instrText>
            </w:r>
            <w:r w:rsidRPr="00AE18A7">
              <w:rPr>
                <w:rFonts w:ascii="Calibri" w:hAnsi="Calibri" w:cs="Calibri"/>
                <w:noProof/>
                <w:webHidden/>
              </w:rPr>
            </w:r>
            <w:r w:rsidRPr="00AE18A7">
              <w:rPr>
                <w:rFonts w:ascii="Calibri" w:hAnsi="Calibri" w:cs="Calibri"/>
                <w:noProof/>
                <w:webHidden/>
              </w:rPr>
              <w:fldChar w:fldCharType="separate"/>
            </w:r>
            <w:r w:rsidRPr="00AE18A7">
              <w:rPr>
                <w:rFonts w:ascii="Calibri" w:hAnsi="Calibri" w:cs="Calibri"/>
                <w:noProof/>
                <w:webHidden/>
              </w:rPr>
              <w:t>19</w:t>
            </w:r>
            <w:r w:rsidRPr="00AE18A7">
              <w:rPr>
                <w:rFonts w:ascii="Calibri" w:hAnsi="Calibri" w:cs="Calibri"/>
                <w:noProof/>
                <w:webHidden/>
              </w:rPr>
              <w:fldChar w:fldCharType="end"/>
            </w:r>
          </w:hyperlink>
        </w:p>
        <w:p w14:paraId="186AFD93" w14:textId="3C68E66B" w:rsidR="00BD0737" w:rsidRPr="00AE18A7" w:rsidRDefault="00BD0737">
          <w:pPr>
            <w:rPr>
              <w:rFonts w:ascii="Calibri" w:hAnsi="Calibri" w:cs="Calibri"/>
            </w:rPr>
          </w:pPr>
          <w:r w:rsidRPr="00AE18A7">
            <w:rPr>
              <w:rFonts w:ascii="Calibri" w:hAnsi="Calibri" w:cs="Calibri"/>
              <w:b/>
              <w:bCs/>
              <w:noProof/>
            </w:rPr>
            <w:fldChar w:fldCharType="end"/>
          </w:r>
        </w:p>
      </w:sdtContent>
    </w:sdt>
    <w:p w14:paraId="28EF7CAB" w14:textId="77777777" w:rsidR="00CF2859" w:rsidRPr="00AE18A7" w:rsidRDefault="00CF2859">
      <w:pPr>
        <w:spacing w:before="40"/>
        <w:rPr>
          <w:rFonts w:ascii="Calibri" w:hAnsi="Calibri" w:cs="Calibri"/>
        </w:rPr>
      </w:pPr>
    </w:p>
    <w:p w14:paraId="28EF7CAC" w14:textId="77777777" w:rsidR="00CF2859" w:rsidRPr="00AE18A7" w:rsidRDefault="00AE3F9E">
      <w:pPr>
        <w:rPr>
          <w:rFonts w:ascii="Calibri" w:hAnsi="Calibri" w:cs="Calibri"/>
        </w:rPr>
      </w:pPr>
      <w:r w:rsidRPr="00AE18A7">
        <w:rPr>
          <w:rFonts w:ascii="Calibri" w:hAnsi="Calibri" w:cs="Calibri"/>
        </w:rPr>
        <w:br w:type="page"/>
      </w:r>
    </w:p>
    <w:p w14:paraId="28EF7CAD" w14:textId="77777777" w:rsidR="00CF2859" w:rsidRPr="00AE18A7" w:rsidRDefault="00AE3F9E" w:rsidP="005B0A62">
      <w:pPr>
        <w:pStyle w:val="Heading10"/>
      </w:pPr>
      <w:bookmarkStart w:id="0" w:name="_Toc229741665"/>
      <w:r w:rsidRPr="00AE18A7">
        <w:lastRenderedPageBreak/>
        <w:t>1. Introduction</w:t>
      </w:r>
      <w:bookmarkEnd w:id="0"/>
    </w:p>
    <w:p w14:paraId="28EF7CAE" w14:textId="77777777" w:rsidR="00CF2859" w:rsidRPr="00AE18A7" w:rsidRDefault="00AE3F9E">
      <w:pPr>
        <w:spacing w:before="80" w:line="276" w:lineRule="auto"/>
        <w:rPr>
          <w:rFonts w:ascii="Calibri" w:hAnsi="Calibri" w:cs="Calibri"/>
        </w:rPr>
      </w:pPr>
      <w:r w:rsidRPr="00AE18A7">
        <w:rPr>
          <w:rFonts w:ascii="Calibri" w:hAnsi="Calibri" w:cs="Calibri"/>
        </w:rPr>
        <w:t>The deployment of AI systems in roles adjacent to targeting and lethal decision support has accelerated significantly across multiple national programmes. The governance architecture of these systems, to the extent that it has been publicly described, exhibits recurring structural gaps. These are not gaps that can be addressed by improving the underlying AI model, refining rules of engagement, or training human operators to be more sceptical of AI recommendations. They are architectural gaps: absences in the structure of the system that create conditions for unlawful or erroneous lethal action regardless of the intent of those deploying the system.</w:t>
      </w:r>
    </w:p>
    <w:p w14:paraId="28EF7CAF" w14:textId="77777777" w:rsidR="00CF2859" w:rsidRPr="00AE18A7" w:rsidRDefault="00AE3F9E">
      <w:pPr>
        <w:spacing w:before="80" w:line="276" w:lineRule="auto"/>
        <w:rPr>
          <w:rFonts w:ascii="Calibri" w:hAnsi="Calibri" w:cs="Calibri"/>
        </w:rPr>
      </w:pPr>
      <w:r w:rsidRPr="00AE18A7">
        <w:rPr>
          <w:rFonts w:ascii="Calibri" w:hAnsi="Calibri" w:cs="Calibri"/>
        </w:rPr>
        <w:t>The most widely cited requirement for responsible AI in lethal systems is 'meaningful human control' [1, 2, 3]. The International Committee of the Red Cross (ICRC), the United Nations Group of Governmental Experts on Lethal Autonomous Weapons Systems (CCW GGE), and a growing body of academic literature have used this phrase as a normative standard without providing a concrete technical specification of what it requires in architectural terms. The result is a gap between the principle and its implementation: states can assert compliance with meaningful human control requirements without having to demonstrate that their systems are architecturally designed to enforce it.</w:t>
      </w:r>
    </w:p>
    <w:p w14:paraId="28EF7CB0" w14:textId="77777777" w:rsidR="00CF2859" w:rsidRPr="00AE18A7" w:rsidRDefault="00AE3F9E">
      <w:pPr>
        <w:spacing w:before="80" w:line="276" w:lineRule="auto"/>
        <w:rPr>
          <w:rFonts w:ascii="Calibri" w:hAnsi="Calibri" w:cs="Calibri"/>
        </w:rPr>
      </w:pPr>
      <w:r w:rsidRPr="00AE18A7">
        <w:rPr>
          <w:rFonts w:ascii="Calibri" w:hAnsi="Calibri" w:cs="Calibri"/>
        </w:rPr>
        <w:t>We define meaningful human control, for the purposes of this framework, as a governance architecture in which the human decision to authorise lethal force is made with complete evidence classification, calibrated confidence assessment, independent legal review, and non-bypassable audit, and cannot be reduced to a rubber-stamp approval regardless of operational tempo or command pressure. This definition is architectural, not normative: it specifies structural preconditions rather than a value judgement.</w:t>
      </w:r>
    </w:p>
    <w:p w14:paraId="28EF7CB1" w14:textId="77777777" w:rsidR="00CF2859" w:rsidRPr="00AE18A7" w:rsidRDefault="00AE3F9E">
      <w:pPr>
        <w:spacing w:before="80" w:line="276" w:lineRule="auto"/>
        <w:rPr>
          <w:rFonts w:ascii="Calibri" w:hAnsi="Calibri" w:cs="Calibri"/>
        </w:rPr>
      </w:pPr>
      <w:r w:rsidRPr="00AE18A7">
        <w:rPr>
          <w:rFonts w:ascii="Calibri" w:hAnsi="Calibri" w:cs="Calibri"/>
        </w:rPr>
        <w:t>Project Maven, the US Department of Defense's Algorithmic Warfare Cross-Functional Team, established in April 2017, is the most publicly documented programme in which AI was applied to the analysis of surveillance data for targeting support [21]. The controversy that surrounded it, culminating in approximately 3,100 Google employees signing a public letter protesting their company's involvement and Google's subsequent withdrawal from the programme [22], raised precisely the governance questions this framework attempts to answer architecturally.</w:t>
      </w:r>
    </w:p>
    <w:p w14:paraId="28EF7CB2" w14:textId="77777777" w:rsidR="00CF2859" w:rsidRPr="00AE18A7" w:rsidRDefault="00AE3F9E">
      <w:pPr>
        <w:spacing w:before="80" w:line="276" w:lineRule="auto"/>
        <w:rPr>
          <w:rFonts w:ascii="Calibri" w:hAnsi="Calibri" w:cs="Calibri"/>
        </w:rPr>
      </w:pPr>
      <w:r w:rsidRPr="00AE18A7">
        <w:rPr>
          <w:rFonts w:ascii="Calibri" w:hAnsi="Calibri" w:cs="Calibri"/>
        </w:rPr>
        <w:t>This paper presents EAAP-LGF, a governance architecture derived from a working enterprise AI governance framework, the Enterprise AI Architecture Pattern (EAAP) [4], and extended into the lethal systems domain. Section 12 provides a systematic mapping of the framework's requirements to their IHL legal basis. We state explicitly in Section 11 what the framework cannot do.</w:t>
      </w:r>
    </w:p>
    <w:p w14:paraId="28EF7CB3" w14:textId="77777777" w:rsidR="00CF2859" w:rsidRPr="00AE18A7" w:rsidRDefault="00CF2859">
      <w:pPr>
        <w:spacing w:before="40"/>
        <w:rPr>
          <w:rFonts w:ascii="Calibri" w:hAnsi="Calibri" w:cs="Calibri"/>
        </w:rPr>
      </w:pPr>
    </w:p>
    <w:p w14:paraId="28EF7CB4" w14:textId="77777777" w:rsidR="00CF2859" w:rsidRPr="00AE18A7" w:rsidRDefault="00AE3F9E" w:rsidP="005B0A62">
      <w:pPr>
        <w:pStyle w:val="Heading20"/>
      </w:pPr>
      <w:bookmarkStart w:id="1" w:name="_Toc229741666"/>
      <w:r w:rsidRPr="00AE18A7">
        <w:t>1.1 Authorship and Intent</w:t>
      </w:r>
      <w:bookmarkEnd w:id="1"/>
    </w:p>
    <w:p w14:paraId="28EF7CB5" w14:textId="77777777" w:rsidR="00CF2859" w:rsidRPr="00AE18A7" w:rsidRDefault="00AE3F9E">
      <w:pPr>
        <w:spacing w:before="80" w:line="276" w:lineRule="auto"/>
        <w:rPr>
          <w:rFonts w:ascii="Calibri" w:hAnsi="Calibri" w:cs="Calibri"/>
        </w:rPr>
      </w:pPr>
      <w:r w:rsidRPr="00AE18A7">
        <w:rPr>
          <w:rFonts w:ascii="Calibri" w:hAnsi="Calibri" w:cs="Calibri"/>
        </w:rPr>
        <w:t>This paper is a governance constraint framework. Nothing in this paper should be read as a claim that AI can be made safe for autonomous lethal decision-making. The author's position is the opposite: this framework is designed to constrain AI involvement, maximise human oversight, and ensure accountability. It is not a weapons development document, a military procurement specification, or an endorsement of any specific programme.</w:t>
      </w:r>
    </w:p>
    <w:p w14:paraId="28EF7CB6" w14:textId="77777777" w:rsidR="00CF2859" w:rsidRPr="00AE18A7" w:rsidRDefault="00CF2859">
      <w:pPr>
        <w:spacing w:before="80"/>
        <w:rPr>
          <w:rFonts w:ascii="Calibri" w:hAnsi="Calibri" w:cs="Calibri"/>
        </w:rPr>
      </w:pPr>
    </w:p>
    <w:p w14:paraId="28EF7CB7" w14:textId="77777777" w:rsidR="00CF2859" w:rsidRPr="00AE18A7" w:rsidRDefault="00AE3F9E" w:rsidP="005B0A62">
      <w:pPr>
        <w:pStyle w:val="Heading10"/>
      </w:pPr>
      <w:bookmarkStart w:id="2" w:name="_Toc229741667"/>
      <w:r w:rsidRPr="00AE18A7">
        <w:t>2. Background and Related Work</w:t>
      </w:r>
      <w:bookmarkEnd w:id="2"/>
    </w:p>
    <w:p w14:paraId="28EF7CB8" w14:textId="77777777" w:rsidR="00CF2859" w:rsidRPr="00AE18A7" w:rsidRDefault="00AE3F9E" w:rsidP="005B0A62">
      <w:pPr>
        <w:pStyle w:val="Heading20"/>
      </w:pPr>
      <w:bookmarkStart w:id="3" w:name="_Toc229741668"/>
      <w:r w:rsidRPr="00AE18A7">
        <w:t>2.1 International Frameworks on LAWS</w:t>
      </w:r>
      <w:bookmarkEnd w:id="3"/>
    </w:p>
    <w:p w14:paraId="28EF7CB9" w14:textId="77777777" w:rsidR="00CF2859" w:rsidRPr="00AE18A7" w:rsidRDefault="00AE3F9E">
      <w:pPr>
        <w:spacing w:before="80" w:line="276" w:lineRule="auto"/>
        <w:rPr>
          <w:rFonts w:ascii="Calibri" w:hAnsi="Calibri" w:cs="Calibri"/>
        </w:rPr>
      </w:pPr>
      <w:r w:rsidRPr="00AE18A7">
        <w:rPr>
          <w:rFonts w:ascii="Calibri" w:hAnsi="Calibri" w:cs="Calibri"/>
        </w:rPr>
        <w:t>The CCW Group of Governmental Experts on LAWS has been meeting since 2014 to discuss a potential international instrument governing lethal autonomous weapons systems [5]. The GGE has produced guiding principles [6] that include the requirement for human judgement over the use of force, compliance with IHL, and individual accountability. These principles have not been translated into a legally binding instrument, and they have not been operationalised as technical requirements.</w:t>
      </w:r>
    </w:p>
    <w:p w14:paraId="28EF7CBA" w14:textId="77777777" w:rsidR="00CF2859" w:rsidRPr="00AE18A7" w:rsidRDefault="00AE3F9E">
      <w:pPr>
        <w:spacing w:before="80" w:line="276" w:lineRule="auto"/>
        <w:rPr>
          <w:rFonts w:ascii="Calibri" w:hAnsi="Calibri" w:cs="Calibri"/>
        </w:rPr>
      </w:pPr>
      <w:r w:rsidRPr="00AE18A7">
        <w:rPr>
          <w:rFonts w:ascii="Calibri" w:hAnsi="Calibri" w:cs="Calibri"/>
        </w:rPr>
        <w:t>The ICRC has called for new international rules on autonomous weapons [7], specifically identifying the need for 'meaningful human control' over life-and-death decisions. The 2021 ICRC position paper identifies the requirement that humans must make context-specific judgements about the use of force, assess compliance with IHL, and bear individual legal responsibility. It does not specify the technical architecture required to ensure these requirements are met.</w:t>
      </w:r>
    </w:p>
    <w:p w14:paraId="28EF7CBB" w14:textId="77777777" w:rsidR="00CF2859" w:rsidRPr="00AE18A7" w:rsidRDefault="00AE3F9E">
      <w:pPr>
        <w:spacing w:before="80" w:line="276" w:lineRule="auto"/>
        <w:rPr>
          <w:rFonts w:ascii="Calibri" w:hAnsi="Calibri" w:cs="Calibri"/>
        </w:rPr>
      </w:pPr>
      <w:r w:rsidRPr="00AE18A7">
        <w:rPr>
          <w:rFonts w:ascii="Calibri" w:hAnsi="Calibri" w:cs="Calibri"/>
        </w:rPr>
        <w:lastRenderedPageBreak/>
        <w:t>Scharre [8] provides a comprehensive analysis of autonomous weapons and identifies the human-machine teaming problem as central: the risk that human operators become supervisors of AI rather than decision-makers, with automation bias systematically eroding the quality of human judgement. The present paper operationalises this concern as an architectural requirement in Layer 3.</w:t>
      </w:r>
    </w:p>
    <w:p w14:paraId="28EF7CBC" w14:textId="77777777" w:rsidR="00CF2859" w:rsidRPr="00AE18A7" w:rsidRDefault="00CF2859">
      <w:pPr>
        <w:spacing w:before="60"/>
        <w:rPr>
          <w:rFonts w:ascii="Calibri" w:hAnsi="Calibri" w:cs="Calibri"/>
        </w:rPr>
      </w:pPr>
    </w:p>
    <w:p w14:paraId="28EF7CBD" w14:textId="77777777" w:rsidR="00CF2859" w:rsidRPr="00AE18A7" w:rsidRDefault="00AE3F9E" w:rsidP="000D7BE9">
      <w:pPr>
        <w:pStyle w:val="Heading20"/>
      </w:pPr>
      <w:bookmarkStart w:id="4" w:name="_Toc229741669"/>
      <w:r w:rsidRPr="00AE18A7">
        <w:t>2.2 Existing AI Governance Frameworks</w:t>
      </w:r>
      <w:bookmarkEnd w:id="4"/>
    </w:p>
    <w:p w14:paraId="28EF7CBE" w14:textId="77777777" w:rsidR="00CF2859" w:rsidRPr="00AE18A7" w:rsidRDefault="00AE3F9E">
      <w:pPr>
        <w:spacing w:before="80" w:line="276" w:lineRule="auto"/>
        <w:rPr>
          <w:rFonts w:ascii="Calibri" w:hAnsi="Calibri" w:cs="Calibri"/>
        </w:rPr>
      </w:pPr>
      <w:r w:rsidRPr="00AE18A7">
        <w:rPr>
          <w:rFonts w:ascii="Calibri" w:hAnsi="Calibri" w:cs="Calibri"/>
        </w:rPr>
        <w:t>Enterprise AI governance frameworks have developed significant sophistication in areas of evidence classification, confidence modelling, and human oversight requirements. The EAAP framework [4], from which EAAP-LGF is derived, implements structural governance for AI recommendations in infrastructure operations. The transfer of these principles to the lethal domain requires substantially higher thresholds, additional governance layers, and the novel introduction of a non-overridable prohibition layer.</w:t>
      </w:r>
    </w:p>
    <w:p w14:paraId="28EF7CBF" w14:textId="77777777" w:rsidR="00CF2859" w:rsidRPr="00AE18A7" w:rsidRDefault="00AE3F9E">
      <w:pPr>
        <w:spacing w:before="80" w:line="276" w:lineRule="auto"/>
        <w:rPr>
          <w:rFonts w:ascii="Calibri" w:hAnsi="Calibri" w:cs="Calibri"/>
        </w:rPr>
      </w:pPr>
      <w:r w:rsidRPr="00AE18A7">
        <w:rPr>
          <w:rFonts w:ascii="Calibri" w:hAnsi="Calibri" w:cs="Calibri"/>
        </w:rPr>
        <w:t>Floridi et al. [9] propose a framework of 'soft ethics' for AI governance, identifying principles of beneficence, non-maleficence, autonomy, justice, and explicability. These principles, while normatively valuable, do not specify implementable architecture. The present paper specifies governance requirements in terms of data structures, threshold values, authorisation counts, and interface constraints that can be verified by an independent auditor.</w:t>
      </w:r>
    </w:p>
    <w:p w14:paraId="28EF7CC0" w14:textId="77777777" w:rsidR="00CF2859" w:rsidRPr="00AE18A7" w:rsidRDefault="00CF2859">
      <w:pPr>
        <w:spacing w:before="60"/>
        <w:rPr>
          <w:rFonts w:ascii="Calibri" w:hAnsi="Calibri" w:cs="Calibri"/>
        </w:rPr>
      </w:pPr>
    </w:p>
    <w:p w14:paraId="28EF7CC1" w14:textId="77777777" w:rsidR="00CF2859" w:rsidRPr="00AE18A7" w:rsidRDefault="00AE3F9E" w:rsidP="000D7BE9">
      <w:pPr>
        <w:pStyle w:val="Heading20"/>
      </w:pPr>
      <w:bookmarkStart w:id="5" w:name="_Toc229741670"/>
      <w:r w:rsidRPr="00AE18A7">
        <w:t>2.3 Project Maven and the Governance Question</w:t>
      </w:r>
      <w:bookmarkEnd w:id="5"/>
    </w:p>
    <w:p w14:paraId="28EF7CC2" w14:textId="1D292C62" w:rsidR="00CF2859" w:rsidRPr="00AE18A7" w:rsidRDefault="00AE3F9E">
      <w:pPr>
        <w:spacing w:before="80" w:line="276" w:lineRule="auto"/>
        <w:rPr>
          <w:rFonts w:ascii="Calibri" w:hAnsi="Calibri" w:cs="Calibri"/>
        </w:rPr>
      </w:pPr>
      <w:r w:rsidRPr="00AE18A7">
        <w:rPr>
          <w:rFonts w:ascii="Calibri" w:hAnsi="Calibri" w:cs="Calibri"/>
        </w:rPr>
        <w:t>Project Maven, formally the Algorithmic Warfare Cross-Functional Team, was established by Deputy Secretary of Defense memorandum on April 26, 2017 [21]. Its initial and most publicly documented purpose was applying computer vision AI to the analysis of full-motion video from surveillance drones, automatically flagging objects of interest to reduce the burden on human image analysts.</w:t>
      </w:r>
    </w:p>
    <w:p w14:paraId="28EF7CC3" w14:textId="280ABFD2" w:rsidR="00CF2859" w:rsidRPr="00AE18A7" w:rsidRDefault="00AE3F9E">
      <w:pPr>
        <w:spacing w:before="80" w:line="276" w:lineRule="auto"/>
        <w:rPr>
          <w:rFonts w:ascii="Calibri" w:hAnsi="Calibri" w:cs="Calibri"/>
        </w:rPr>
      </w:pPr>
      <w:r w:rsidRPr="00AE18A7">
        <w:rPr>
          <w:rFonts w:ascii="Calibri" w:hAnsi="Calibri" w:cs="Calibri"/>
        </w:rPr>
        <w:t>In April 2018, approximately 3,100 Google employees signed an open letter [22] protesting their company's involvement in the programme, citing concern that the technology would be used to improve targeting of drone strikes. Google subsequently declined to renew the Maven contract. The controversy produced public documentation of the governance questions that Maven raised but not of the governance architecture that addressed them.</w:t>
      </w:r>
    </w:p>
    <w:p w14:paraId="28EF7CC4" w14:textId="77777777" w:rsidR="00CF2859" w:rsidRPr="00AE18A7" w:rsidRDefault="00CF2859">
      <w:pPr>
        <w:spacing w:before="40"/>
        <w:rPr>
          <w:rFonts w:ascii="Calibri" w:hAnsi="Calibri" w:cs="Calibri"/>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400"/>
        <w:gridCol w:w="2400"/>
      </w:tblGrid>
      <w:tr w:rsidR="00CF2859" w:rsidRPr="00AE18A7" w14:paraId="28EF7CC8" w14:textId="77777777">
        <w:trPr>
          <w:tblHeader/>
        </w:trPr>
        <w:tc>
          <w:tcPr>
            <w:tcW w:w="2200" w:type="dxa"/>
            <w:tcBorders>
              <w:top w:val="single" w:sz="1" w:space="0" w:color="1A1A1A"/>
              <w:left w:val="single" w:sz="1" w:space="0" w:color="1A1A1A"/>
              <w:bottom w:val="single" w:sz="1" w:space="0" w:color="1A1A1A"/>
              <w:right w:val="single" w:sz="1" w:space="0" w:color="1A1A1A"/>
            </w:tcBorders>
            <w:shd w:val="clear" w:color="auto" w:fill="1A1A1A"/>
            <w:tcMar>
              <w:top w:w="60" w:type="dxa"/>
              <w:left w:w="100" w:type="dxa"/>
              <w:bottom w:w="60" w:type="dxa"/>
              <w:right w:w="100" w:type="dxa"/>
            </w:tcMar>
          </w:tcPr>
          <w:p w14:paraId="28EF7CC5" w14:textId="77777777" w:rsidR="00CF2859" w:rsidRPr="00AE18A7" w:rsidRDefault="00AE3F9E">
            <w:pPr>
              <w:rPr>
                <w:rFonts w:ascii="Calibri" w:hAnsi="Calibri" w:cs="Calibri"/>
              </w:rPr>
            </w:pPr>
            <w:r w:rsidRPr="00AE18A7">
              <w:rPr>
                <w:rFonts w:ascii="Calibri" w:hAnsi="Calibri" w:cs="Calibri"/>
                <w:b/>
                <w:bCs/>
                <w:color w:val="FFFFFF"/>
                <w:sz w:val="17"/>
                <w:szCs w:val="17"/>
              </w:rPr>
              <w:t>EAAP-LGF Gap</w:t>
            </w:r>
          </w:p>
        </w:tc>
        <w:tc>
          <w:tcPr>
            <w:tcW w:w="4400" w:type="dxa"/>
            <w:tcBorders>
              <w:top w:val="single" w:sz="1" w:space="0" w:color="1A1A1A"/>
              <w:left w:val="single" w:sz="1" w:space="0" w:color="1A1A1A"/>
              <w:bottom w:val="single" w:sz="1" w:space="0" w:color="1A1A1A"/>
              <w:right w:val="single" w:sz="1" w:space="0" w:color="1A1A1A"/>
            </w:tcBorders>
            <w:shd w:val="clear" w:color="auto" w:fill="1A1A1A"/>
            <w:tcMar>
              <w:top w:w="60" w:type="dxa"/>
              <w:left w:w="100" w:type="dxa"/>
              <w:bottom w:w="60" w:type="dxa"/>
              <w:right w:w="100" w:type="dxa"/>
            </w:tcMar>
          </w:tcPr>
          <w:p w14:paraId="28EF7CC6" w14:textId="77777777" w:rsidR="00CF2859" w:rsidRPr="00AE18A7" w:rsidRDefault="00AE3F9E">
            <w:pPr>
              <w:rPr>
                <w:rFonts w:ascii="Calibri" w:hAnsi="Calibri" w:cs="Calibri"/>
              </w:rPr>
            </w:pPr>
            <w:r w:rsidRPr="00AE18A7">
              <w:rPr>
                <w:rFonts w:ascii="Calibri" w:hAnsi="Calibri" w:cs="Calibri"/>
                <w:b/>
                <w:bCs/>
                <w:color w:val="FFFFFF"/>
                <w:sz w:val="17"/>
                <w:szCs w:val="17"/>
              </w:rPr>
              <w:t>Governance question raised by Maven controversy</w:t>
            </w:r>
          </w:p>
        </w:tc>
        <w:tc>
          <w:tcPr>
            <w:tcW w:w="2400" w:type="dxa"/>
            <w:tcBorders>
              <w:top w:val="single" w:sz="1" w:space="0" w:color="1A1A1A"/>
              <w:left w:val="single" w:sz="1" w:space="0" w:color="1A1A1A"/>
              <w:bottom w:val="single" w:sz="1" w:space="0" w:color="1A1A1A"/>
              <w:right w:val="single" w:sz="1" w:space="0" w:color="1A1A1A"/>
            </w:tcBorders>
            <w:shd w:val="clear" w:color="auto" w:fill="1A1A1A"/>
            <w:tcMar>
              <w:top w:w="60" w:type="dxa"/>
              <w:left w:w="100" w:type="dxa"/>
              <w:bottom w:w="60" w:type="dxa"/>
              <w:right w:w="100" w:type="dxa"/>
            </w:tcMar>
          </w:tcPr>
          <w:p w14:paraId="28EF7CC7" w14:textId="77777777" w:rsidR="00CF2859" w:rsidRPr="00AE18A7" w:rsidRDefault="00AE3F9E">
            <w:pPr>
              <w:rPr>
                <w:rFonts w:ascii="Calibri" w:hAnsi="Calibri" w:cs="Calibri"/>
              </w:rPr>
            </w:pPr>
            <w:r w:rsidRPr="00AE18A7">
              <w:rPr>
                <w:rFonts w:ascii="Calibri" w:hAnsi="Calibri" w:cs="Calibri"/>
                <w:b/>
                <w:bCs/>
                <w:color w:val="FFFFFF"/>
                <w:sz w:val="17"/>
                <w:szCs w:val="17"/>
              </w:rPr>
              <w:t>Publicly answered?</w:t>
            </w:r>
          </w:p>
        </w:tc>
      </w:tr>
      <w:tr w:rsidR="00CF2859" w:rsidRPr="00AE18A7" w14:paraId="28EF7CCC" w14:textId="77777777">
        <w:tc>
          <w:tcPr>
            <w:tcW w:w="22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CC9" w14:textId="6D0CF8B4" w:rsidR="00CF2859" w:rsidRPr="00AE18A7" w:rsidRDefault="00AE3F9E">
            <w:pPr>
              <w:spacing w:line="260" w:lineRule="auto"/>
              <w:rPr>
                <w:rFonts w:ascii="Calibri" w:hAnsi="Calibri" w:cs="Calibri"/>
              </w:rPr>
            </w:pPr>
            <w:r w:rsidRPr="00AE18A7">
              <w:rPr>
                <w:rFonts w:ascii="Calibri" w:hAnsi="Calibri" w:cs="Calibri"/>
                <w:b/>
                <w:bCs/>
                <w:sz w:val="17"/>
                <w:szCs w:val="17"/>
              </w:rPr>
              <w:t xml:space="preserve">GAP-01 </w:t>
            </w:r>
            <w:r w:rsidR="000D7BE9" w:rsidRPr="00AE18A7">
              <w:rPr>
                <w:rFonts w:ascii="Calibri" w:hAnsi="Calibri" w:cs="Calibri"/>
                <w:b/>
                <w:bCs/>
                <w:sz w:val="17"/>
                <w:szCs w:val="17"/>
                <w:lang w:val="en-GB"/>
              </w:rPr>
              <w:t>-</w:t>
            </w:r>
            <w:r w:rsidRPr="00AE18A7">
              <w:rPr>
                <w:rFonts w:ascii="Calibri" w:hAnsi="Calibri" w:cs="Calibri"/>
                <w:b/>
                <w:bCs/>
                <w:sz w:val="17"/>
                <w:szCs w:val="17"/>
              </w:rPr>
              <w:t xml:space="preserve"> No prohibition layer</w:t>
            </w:r>
          </w:p>
        </w:tc>
        <w:tc>
          <w:tcPr>
            <w:tcW w:w="44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CCA"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Could the Maven system generate recommendations targeting protected persons or medical facilities? Was there a non-overridable architectural mechanism preventing such recommendations from being presented to human operators?</w:t>
            </w:r>
          </w:p>
        </w:tc>
        <w:tc>
          <w:tcPr>
            <w:tcW w:w="24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CCB"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No. The programme's internal prohibition architecture has not been publicly described.</w:t>
            </w:r>
          </w:p>
        </w:tc>
      </w:tr>
      <w:tr w:rsidR="00CF2859" w:rsidRPr="00AE18A7" w14:paraId="28EF7CD0"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CCD" w14:textId="1FD1FDF8" w:rsidR="00CF2859" w:rsidRPr="00AE18A7" w:rsidRDefault="00AE3F9E">
            <w:pPr>
              <w:spacing w:line="260" w:lineRule="auto"/>
              <w:rPr>
                <w:rFonts w:ascii="Calibri" w:hAnsi="Calibri" w:cs="Calibri"/>
              </w:rPr>
            </w:pPr>
            <w:r w:rsidRPr="00AE18A7">
              <w:rPr>
                <w:rFonts w:ascii="Calibri" w:hAnsi="Calibri" w:cs="Calibri"/>
                <w:b/>
                <w:bCs/>
                <w:sz w:val="17"/>
                <w:szCs w:val="17"/>
              </w:rPr>
              <w:t xml:space="preserve">GAP-02 </w:t>
            </w:r>
            <w:r w:rsidR="000D7BE9" w:rsidRPr="00AE18A7">
              <w:rPr>
                <w:rFonts w:ascii="Calibri" w:hAnsi="Calibri" w:cs="Calibri"/>
                <w:b/>
                <w:bCs/>
                <w:sz w:val="17"/>
                <w:szCs w:val="17"/>
                <w:lang w:val="en-GB"/>
              </w:rPr>
              <w:t>-</w:t>
            </w:r>
            <w:r w:rsidRPr="00AE18A7">
              <w:rPr>
                <w:rFonts w:ascii="Calibri" w:hAnsi="Calibri" w:cs="Calibri"/>
                <w:b/>
                <w:bCs/>
                <w:sz w:val="17"/>
                <w:szCs w:val="17"/>
              </w:rPr>
              <w:t xml:space="preserve"> No evidence classification</w:t>
            </w:r>
          </w:p>
        </w:tc>
        <w:tc>
          <w:tcPr>
            <w:tcW w:w="4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CCE" w14:textId="00FA338B" w:rsidR="00CF2859" w:rsidRPr="00AE18A7" w:rsidRDefault="00AE3F9E">
            <w:pPr>
              <w:spacing w:line="260" w:lineRule="auto"/>
              <w:rPr>
                <w:rFonts w:ascii="Calibri" w:hAnsi="Calibri" w:cs="Calibri"/>
              </w:rPr>
            </w:pPr>
            <w:r w:rsidRPr="00AE18A7">
              <w:rPr>
                <w:rFonts w:ascii="Calibri" w:hAnsi="Calibri" w:cs="Calibri"/>
                <w:color w:val="444444"/>
                <w:sz w:val="17"/>
                <w:szCs w:val="17"/>
              </w:rPr>
              <w:t>When Maven flagged a person or vehicle, was the output accompanied by a structured classification of the evidence basis which video feeds, what confidence level, from how many independent sources?</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CCF"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No. Evidence classification of Maven outputs has not been publicly described.</w:t>
            </w:r>
          </w:p>
        </w:tc>
      </w:tr>
      <w:tr w:rsidR="00CF2859" w:rsidRPr="00AE18A7" w14:paraId="28EF7CD4" w14:textId="77777777">
        <w:tc>
          <w:tcPr>
            <w:tcW w:w="22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CD1" w14:textId="2B0131D7" w:rsidR="00CF2859" w:rsidRPr="00AE18A7" w:rsidRDefault="00AE3F9E">
            <w:pPr>
              <w:spacing w:line="260" w:lineRule="auto"/>
              <w:rPr>
                <w:rFonts w:ascii="Calibri" w:hAnsi="Calibri" w:cs="Calibri"/>
              </w:rPr>
            </w:pPr>
            <w:r w:rsidRPr="00AE18A7">
              <w:rPr>
                <w:rFonts w:ascii="Calibri" w:hAnsi="Calibri" w:cs="Calibri"/>
                <w:b/>
                <w:bCs/>
                <w:sz w:val="17"/>
                <w:szCs w:val="17"/>
              </w:rPr>
              <w:t xml:space="preserve">GAP-03 </w:t>
            </w:r>
            <w:r w:rsidR="000D7BE9" w:rsidRPr="00AE18A7">
              <w:rPr>
                <w:rFonts w:ascii="Calibri" w:hAnsi="Calibri" w:cs="Calibri"/>
                <w:b/>
                <w:bCs/>
                <w:sz w:val="17"/>
                <w:szCs w:val="17"/>
                <w:lang w:val="en-GB"/>
              </w:rPr>
              <w:t>-</w:t>
            </w:r>
            <w:r w:rsidRPr="00AE18A7">
              <w:rPr>
                <w:rFonts w:ascii="Calibri" w:hAnsi="Calibri" w:cs="Calibri"/>
                <w:b/>
                <w:bCs/>
                <w:sz w:val="17"/>
                <w:szCs w:val="17"/>
              </w:rPr>
              <w:t xml:space="preserve"> No calibrated confidence with hard blocks</w:t>
            </w:r>
          </w:p>
        </w:tc>
        <w:tc>
          <w:tcPr>
            <w:tcW w:w="44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CD2"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Were Maven's object classifications accompanied by calibrated confidence scores with defined thresholds below which the output was blocked rather than presented?</w:t>
            </w:r>
          </w:p>
        </w:tc>
        <w:tc>
          <w:tcPr>
            <w:tcW w:w="24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CD3"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No. Maven's confidence model architecture has not been publicly described.</w:t>
            </w:r>
          </w:p>
        </w:tc>
      </w:tr>
      <w:tr w:rsidR="00CF2859" w:rsidRPr="00AE18A7" w14:paraId="28EF7CD8"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CD5" w14:textId="5D1933C5" w:rsidR="00CF2859" w:rsidRPr="00AE18A7" w:rsidRDefault="00AE3F9E">
            <w:pPr>
              <w:spacing w:line="260" w:lineRule="auto"/>
              <w:rPr>
                <w:rFonts w:ascii="Calibri" w:hAnsi="Calibri" w:cs="Calibri"/>
              </w:rPr>
            </w:pPr>
            <w:r w:rsidRPr="00AE18A7">
              <w:rPr>
                <w:rFonts w:ascii="Calibri" w:hAnsi="Calibri" w:cs="Calibri"/>
                <w:b/>
                <w:bCs/>
                <w:sz w:val="17"/>
                <w:szCs w:val="17"/>
              </w:rPr>
              <w:t xml:space="preserve">GAP-04 </w:t>
            </w:r>
            <w:r w:rsidR="000D7BE9" w:rsidRPr="00AE18A7">
              <w:rPr>
                <w:rFonts w:ascii="Calibri" w:hAnsi="Calibri" w:cs="Calibri"/>
                <w:b/>
                <w:bCs/>
                <w:sz w:val="17"/>
                <w:szCs w:val="17"/>
                <w:lang w:val="en-GB"/>
              </w:rPr>
              <w:t>-</w:t>
            </w:r>
            <w:r w:rsidRPr="00AE18A7">
              <w:rPr>
                <w:rFonts w:ascii="Calibri" w:hAnsi="Calibri" w:cs="Calibri"/>
                <w:b/>
                <w:bCs/>
                <w:sz w:val="17"/>
                <w:szCs w:val="17"/>
              </w:rPr>
              <w:t xml:space="preserve"> Insufficient human authorisation</w:t>
            </w:r>
          </w:p>
        </w:tc>
        <w:tc>
          <w:tcPr>
            <w:tcW w:w="4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CD6"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What was the human authorisation structure for actions taken on Maven-supported identification? How many independent authorisers were required? Was independent legal review structurally mandated?</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CD7"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No. The human authorisation architecture has not been publicly described.</w:t>
            </w:r>
          </w:p>
        </w:tc>
      </w:tr>
      <w:tr w:rsidR="00CF2859" w:rsidRPr="00AE18A7" w14:paraId="28EF7CDC" w14:textId="77777777">
        <w:tc>
          <w:tcPr>
            <w:tcW w:w="22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CD9" w14:textId="047B106A" w:rsidR="00CF2859" w:rsidRPr="00AE18A7" w:rsidRDefault="00AE3F9E">
            <w:pPr>
              <w:spacing w:line="260" w:lineRule="auto"/>
              <w:rPr>
                <w:rFonts w:ascii="Calibri" w:hAnsi="Calibri" w:cs="Calibri"/>
              </w:rPr>
            </w:pPr>
            <w:r w:rsidRPr="00AE18A7">
              <w:rPr>
                <w:rFonts w:ascii="Calibri" w:hAnsi="Calibri" w:cs="Calibri"/>
                <w:b/>
                <w:bCs/>
                <w:sz w:val="17"/>
                <w:szCs w:val="17"/>
              </w:rPr>
              <w:t xml:space="preserve">GAP-05 </w:t>
            </w:r>
            <w:r w:rsidR="000D7BE9" w:rsidRPr="00AE18A7">
              <w:rPr>
                <w:rFonts w:ascii="Calibri" w:hAnsi="Calibri" w:cs="Calibri"/>
                <w:b/>
                <w:bCs/>
                <w:sz w:val="17"/>
                <w:szCs w:val="17"/>
                <w:lang w:val="en-GB"/>
              </w:rPr>
              <w:t>-</w:t>
            </w:r>
            <w:r w:rsidRPr="00AE18A7">
              <w:rPr>
                <w:rFonts w:ascii="Calibri" w:hAnsi="Calibri" w:cs="Calibri"/>
                <w:b/>
                <w:bCs/>
                <w:sz w:val="17"/>
                <w:szCs w:val="17"/>
              </w:rPr>
              <w:t xml:space="preserve"> Inadequate post-action accountability</w:t>
            </w:r>
          </w:p>
        </w:tc>
        <w:tc>
          <w:tcPr>
            <w:tcW w:w="44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CDA"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Was there a systematic, automated post-action review comparing Maven's identifications against confirmed post-action identities? Were discrepancies automatically flagged?</w:t>
            </w:r>
          </w:p>
        </w:tc>
        <w:tc>
          <w:tcPr>
            <w:tcW w:w="24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CDB"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No. Post-action review mechanisms for Maven have not been publicly described.</w:t>
            </w:r>
          </w:p>
        </w:tc>
      </w:tr>
    </w:tbl>
    <w:p w14:paraId="28EF7CDD" w14:textId="77777777" w:rsidR="00CF2859" w:rsidRPr="00AE18A7" w:rsidRDefault="00CF2859">
      <w:pPr>
        <w:spacing w:before="40"/>
        <w:rPr>
          <w:rFonts w:ascii="Calibri" w:hAnsi="Calibri" w:cs="Calibri"/>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CF2859" w:rsidRPr="00AE18A7" w14:paraId="28EF7CDF" w14:textId="77777777">
        <w:tc>
          <w:tcPr>
            <w:tcW w:w="0" w:type="auto"/>
            <w:tcBorders>
              <w:top w:val="single" w:sz="1" w:space="0" w:color="CCCCCC"/>
              <w:left w:val="single" w:sz="1" w:space="0" w:color="CCCCCC"/>
              <w:bottom w:val="single" w:sz="1" w:space="0" w:color="CCCCCC"/>
              <w:right w:val="single" w:sz="1" w:space="0" w:color="CCCCCC"/>
            </w:tcBorders>
            <w:shd w:val="clear" w:color="auto" w:fill="F7F7F7"/>
            <w:tcMar>
              <w:top w:w="100" w:type="dxa"/>
              <w:left w:w="160" w:type="dxa"/>
              <w:bottom w:w="100" w:type="dxa"/>
              <w:right w:w="160" w:type="dxa"/>
            </w:tcMar>
          </w:tcPr>
          <w:p w14:paraId="28EF7CDE" w14:textId="79D0E302" w:rsidR="00CF2859" w:rsidRPr="00AE18A7" w:rsidRDefault="00AE3F9E">
            <w:pPr>
              <w:spacing w:line="276" w:lineRule="auto"/>
              <w:rPr>
                <w:rFonts w:ascii="Calibri" w:hAnsi="Calibri" w:cs="Calibri"/>
              </w:rPr>
            </w:pPr>
            <w:r w:rsidRPr="00AE18A7">
              <w:rPr>
                <w:rFonts w:ascii="Calibri" w:hAnsi="Calibri" w:cs="Calibri"/>
                <w:i/>
                <w:iCs/>
                <w:sz w:val="19"/>
                <w:szCs w:val="19"/>
              </w:rPr>
              <w:t>The purpose of this table is not to assert that Project Maven lacked these governance elements. The purpose is to illustrate that the public record does not answer the governance questions the programme's own controversy raised. Meaningful human control requires that governance architecture be verifiable not merely asserted.</w:t>
            </w:r>
          </w:p>
        </w:tc>
      </w:tr>
    </w:tbl>
    <w:p w14:paraId="28EF7CE0" w14:textId="77777777" w:rsidR="00CF2859" w:rsidRPr="00AE18A7" w:rsidRDefault="00CF2859">
      <w:pPr>
        <w:spacing w:before="60"/>
        <w:rPr>
          <w:rFonts w:ascii="Calibri" w:hAnsi="Calibri" w:cs="Calibri"/>
        </w:rPr>
      </w:pPr>
    </w:p>
    <w:p w14:paraId="28EF7CE1" w14:textId="77777777" w:rsidR="00CF2859" w:rsidRPr="00AE18A7" w:rsidRDefault="00AE3F9E" w:rsidP="000D7BE9">
      <w:pPr>
        <w:pStyle w:val="Heading20"/>
      </w:pPr>
      <w:bookmarkStart w:id="6" w:name="_Toc229741671"/>
      <w:r w:rsidRPr="00AE18A7">
        <w:t>2.4 Technical Work on AI Targeting</w:t>
      </w:r>
      <w:bookmarkEnd w:id="6"/>
    </w:p>
    <w:p w14:paraId="28EF7CE2" w14:textId="0EE6E092" w:rsidR="00CF2859" w:rsidRPr="00AE18A7" w:rsidRDefault="00AE3F9E">
      <w:pPr>
        <w:spacing w:before="80" w:line="276" w:lineRule="auto"/>
        <w:rPr>
          <w:rFonts w:ascii="Calibri" w:hAnsi="Calibri" w:cs="Calibri"/>
        </w:rPr>
      </w:pPr>
      <w:r w:rsidRPr="00AE18A7">
        <w:rPr>
          <w:rFonts w:ascii="Calibri" w:hAnsi="Calibri" w:cs="Calibri"/>
        </w:rPr>
        <w:t>Lewis [10] and others have argued that properly designed AI targeting support systems could reduce civilian casualties by improving target discrimination. This argument is not incompatible with EAAP-LGF, but it presupposes the existence of governance architecture that current programmes do not demonstrably have. The framework presented here is a precondition for the argument that AI can improve discrimination not a rebuttal of it.</w:t>
      </w:r>
    </w:p>
    <w:p w14:paraId="28EF7CE3" w14:textId="77777777" w:rsidR="00CF2859" w:rsidRPr="00AE18A7" w:rsidRDefault="00AE3F9E">
      <w:pPr>
        <w:spacing w:before="80" w:line="276" w:lineRule="auto"/>
        <w:rPr>
          <w:rFonts w:ascii="Calibri" w:hAnsi="Calibri" w:cs="Calibri"/>
        </w:rPr>
      </w:pPr>
      <w:r w:rsidRPr="00AE18A7">
        <w:rPr>
          <w:rFonts w:ascii="Calibri" w:hAnsi="Calibri" w:cs="Calibri"/>
        </w:rPr>
        <w:t>Human factors research on automation bias [11, 12] demonstrates that operators of semi-autonomous systems systematically over-rely on system recommendations, particularly under time pressure and cognitive load. The cognitive confirmation requirements in Layer 3 are grounded in this literature. The DoD AI Ethics Principles (2020) [23] represent the normative commitment at institutional level; EAAP-LGF represents the architectural specification required to implement those principles verifiably.</w:t>
      </w:r>
    </w:p>
    <w:p w14:paraId="28EF7CE4" w14:textId="77777777" w:rsidR="00CF2859" w:rsidRPr="00AE18A7" w:rsidRDefault="00CF2859">
      <w:pPr>
        <w:spacing w:before="80"/>
        <w:rPr>
          <w:rFonts w:ascii="Calibri" w:hAnsi="Calibri" w:cs="Calibri"/>
        </w:rPr>
      </w:pPr>
    </w:p>
    <w:p w14:paraId="28EF7CE5" w14:textId="77777777" w:rsidR="00CF2859" w:rsidRPr="00AE18A7" w:rsidRDefault="00AE3F9E" w:rsidP="000D7BE9">
      <w:pPr>
        <w:pStyle w:val="Heading10"/>
      </w:pPr>
      <w:bookmarkStart w:id="7" w:name="_Toc229741672"/>
      <w:r w:rsidRPr="00AE18A7">
        <w:t>3. The Five Structural Gaps</w:t>
      </w:r>
      <w:bookmarkEnd w:id="7"/>
    </w:p>
    <w:p w14:paraId="28EF7CE6" w14:textId="77777777" w:rsidR="00CF2859" w:rsidRPr="00AE18A7" w:rsidRDefault="00AE3F9E">
      <w:pPr>
        <w:spacing w:before="80" w:line="276" w:lineRule="auto"/>
        <w:rPr>
          <w:rFonts w:ascii="Calibri" w:hAnsi="Calibri" w:cs="Calibri"/>
        </w:rPr>
      </w:pPr>
      <w:r w:rsidRPr="00AE18A7">
        <w:rPr>
          <w:rFonts w:ascii="Calibri" w:hAnsi="Calibri" w:cs="Calibri"/>
        </w:rPr>
        <w:t>Before presenting the governance architecture, we identify the specific structural gaps that motivate it. These gaps are derived from the publicly available description of AI targeting support programmes. We make no claims about the legality of any specific programme.</w:t>
      </w:r>
    </w:p>
    <w:p w14:paraId="28EF7CE7" w14:textId="77777777" w:rsidR="00CF2859" w:rsidRPr="00AE18A7" w:rsidRDefault="00CF2859">
      <w:pPr>
        <w:spacing w:before="40"/>
        <w:rPr>
          <w:rFonts w:ascii="Calibri" w:hAnsi="Calibri" w:cs="Calibri"/>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gridCol w:w="3000"/>
      </w:tblGrid>
      <w:tr w:rsidR="00CF2859" w:rsidRPr="00AE18A7" w14:paraId="28EF7CEB" w14:textId="77777777">
        <w:trPr>
          <w:tblHeader/>
        </w:trPr>
        <w:tc>
          <w:tcPr>
            <w:tcW w:w="2200" w:type="dxa"/>
            <w:tcBorders>
              <w:top w:val="single" w:sz="1" w:space="0" w:color="1A1A1A"/>
              <w:left w:val="single" w:sz="1" w:space="0" w:color="1A1A1A"/>
              <w:bottom w:val="single" w:sz="1" w:space="0" w:color="1A1A1A"/>
              <w:right w:val="single" w:sz="1" w:space="0" w:color="1A1A1A"/>
            </w:tcBorders>
            <w:shd w:val="clear" w:color="auto" w:fill="1A1A1A"/>
            <w:tcMar>
              <w:top w:w="60" w:type="dxa"/>
              <w:left w:w="100" w:type="dxa"/>
              <w:bottom w:w="60" w:type="dxa"/>
              <w:right w:w="100" w:type="dxa"/>
            </w:tcMar>
          </w:tcPr>
          <w:p w14:paraId="28EF7CE8" w14:textId="77777777" w:rsidR="00CF2859" w:rsidRPr="00AE18A7" w:rsidRDefault="00AE3F9E">
            <w:pPr>
              <w:rPr>
                <w:rFonts w:ascii="Calibri" w:hAnsi="Calibri" w:cs="Calibri"/>
              </w:rPr>
            </w:pPr>
            <w:r w:rsidRPr="00AE18A7">
              <w:rPr>
                <w:rFonts w:ascii="Calibri" w:hAnsi="Calibri" w:cs="Calibri"/>
                <w:b/>
                <w:bCs/>
                <w:color w:val="FFFFFF"/>
                <w:sz w:val="17"/>
                <w:szCs w:val="17"/>
              </w:rPr>
              <w:t>Gap</w:t>
            </w:r>
          </w:p>
        </w:tc>
        <w:tc>
          <w:tcPr>
            <w:tcW w:w="3800" w:type="dxa"/>
            <w:tcBorders>
              <w:top w:val="single" w:sz="1" w:space="0" w:color="1A1A1A"/>
              <w:left w:val="single" w:sz="1" w:space="0" w:color="1A1A1A"/>
              <w:bottom w:val="single" w:sz="1" w:space="0" w:color="1A1A1A"/>
              <w:right w:val="single" w:sz="1" w:space="0" w:color="1A1A1A"/>
            </w:tcBorders>
            <w:shd w:val="clear" w:color="auto" w:fill="1A1A1A"/>
            <w:tcMar>
              <w:top w:w="60" w:type="dxa"/>
              <w:left w:w="100" w:type="dxa"/>
              <w:bottom w:w="60" w:type="dxa"/>
              <w:right w:w="100" w:type="dxa"/>
            </w:tcMar>
          </w:tcPr>
          <w:p w14:paraId="28EF7CE9" w14:textId="77777777" w:rsidR="00CF2859" w:rsidRPr="00AE18A7" w:rsidRDefault="00AE3F9E">
            <w:pPr>
              <w:rPr>
                <w:rFonts w:ascii="Calibri" w:hAnsi="Calibri" w:cs="Calibri"/>
              </w:rPr>
            </w:pPr>
            <w:r w:rsidRPr="00AE18A7">
              <w:rPr>
                <w:rFonts w:ascii="Calibri" w:hAnsi="Calibri" w:cs="Calibri"/>
                <w:b/>
                <w:bCs/>
                <w:color w:val="FFFFFF"/>
                <w:sz w:val="17"/>
                <w:szCs w:val="17"/>
              </w:rPr>
              <w:t>Description</w:t>
            </w:r>
          </w:p>
        </w:tc>
        <w:tc>
          <w:tcPr>
            <w:tcW w:w="3000" w:type="dxa"/>
            <w:tcBorders>
              <w:top w:val="single" w:sz="1" w:space="0" w:color="1A1A1A"/>
              <w:left w:val="single" w:sz="1" w:space="0" w:color="1A1A1A"/>
              <w:bottom w:val="single" w:sz="1" w:space="0" w:color="1A1A1A"/>
              <w:right w:val="single" w:sz="1" w:space="0" w:color="1A1A1A"/>
            </w:tcBorders>
            <w:shd w:val="clear" w:color="auto" w:fill="1A1A1A"/>
            <w:tcMar>
              <w:top w:w="60" w:type="dxa"/>
              <w:left w:w="100" w:type="dxa"/>
              <w:bottom w:w="60" w:type="dxa"/>
              <w:right w:w="100" w:type="dxa"/>
            </w:tcMar>
          </w:tcPr>
          <w:p w14:paraId="28EF7CEA" w14:textId="77777777" w:rsidR="00CF2859" w:rsidRPr="00AE18A7" w:rsidRDefault="00AE3F9E">
            <w:pPr>
              <w:rPr>
                <w:rFonts w:ascii="Calibri" w:hAnsi="Calibri" w:cs="Calibri"/>
              </w:rPr>
            </w:pPr>
            <w:r w:rsidRPr="00AE18A7">
              <w:rPr>
                <w:rFonts w:ascii="Calibri" w:hAnsi="Calibri" w:cs="Calibri"/>
                <w:b/>
                <w:bCs/>
                <w:color w:val="FFFFFF"/>
                <w:sz w:val="17"/>
                <w:szCs w:val="17"/>
              </w:rPr>
              <w:t>Risk Consequence</w:t>
            </w:r>
          </w:p>
        </w:tc>
      </w:tr>
      <w:tr w:rsidR="00CF2859" w:rsidRPr="00AE18A7" w14:paraId="28EF7CEF" w14:textId="77777777">
        <w:tc>
          <w:tcPr>
            <w:tcW w:w="22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CEC" w14:textId="629E3779" w:rsidR="00CF2859" w:rsidRPr="00072E13" w:rsidRDefault="00AE3F9E">
            <w:pPr>
              <w:spacing w:line="260" w:lineRule="auto"/>
              <w:rPr>
                <w:rFonts w:ascii="Calibri" w:hAnsi="Calibri" w:cs="Calibri"/>
                <w:sz w:val="17"/>
                <w:szCs w:val="17"/>
              </w:rPr>
            </w:pPr>
            <w:r w:rsidRPr="00072E13">
              <w:rPr>
                <w:rFonts w:ascii="Calibri" w:hAnsi="Calibri" w:cs="Calibri"/>
                <w:b/>
                <w:bCs/>
                <w:sz w:val="17"/>
                <w:szCs w:val="17"/>
              </w:rPr>
              <w:t xml:space="preserve">GAP-01 </w:t>
            </w:r>
            <w:r w:rsidR="00F454C8" w:rsidRPr="00072E13">
              <w:rPr>
                <w:rFonts w:ascii="Calibri" w:hAnsi="Calibri" w:cs="Calibri"/>
                <w:b/>
                <w:bCs/>
                <w:sz w:val="17"/>
                <w:szCs w:val="17"/>
                <w:lang w:val="en-GB"/>
              </w:rPr>
              <w:t>-</w:t>
            </w:r>
            <w:r w:rsidRPr="00072E13">
              <w:rPr>
                <w:rFonts w:ascii="Calibri" w:hAnsi="Calibri" w:cs="Calibri"/>
                <w:b/>
                <w:bCs/>
                <w:sz w:val="17"/>
                <w:szCs w:val="17"/>
              </w:rPr>
              <w:t xml:space="preserve"> No prohibition layer</w:t>
            </w:r>
          </w:p>
        </w:tc>
        <w:tc>
          <w:tcPr>
            <w:tcW w:w="38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CED" w14:textId="77777777" w:rsidR="00CF2859" w:rsidRPr="00072E13" w:rsidRDefault="00AE3F9E">
            <w:pPr>
              <w:spacing w:line="260" w:lineRule="auto"/>
              <w:rPr>
                <w:rFonts w:ascii="Calibri" w:hAnsi="Calibri" w:cs="Calibri"/>
                <w:sz w:val="17"/>
                <w:szCs w:val="17"/>
              </w:rPr>
            </w:pPr>
            <w:r w:rsidRPr="00072E13">
              <w:rPr>
                <w:rFonts w:ascii="Calibri" w:hAnsi="Calibri" w:cs="Calibri"/>
                <w:color w:val="444444"/>
                <w:sz w:val="17"/>
                <w:szCs w:val="17"/>
              </w:rPr>
              <w:t>Current AI targeting support systems have no structurally non-overridable layer that intercepts recommendations touching absolutely prohibited categories.</w:t>
            </w:r>
          </w:p>
        </w:tc>
        <w:tc>
          <w:tcPr>
            <w:tcW w:w="30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CEE" w14:textId="77777777" w:rsidR="00CF2859" w:rsidRPr="00072E13" w:rsidRDefault="00AE3F9E">
            <w:pPr>
              <w:spacing w:line="260" w:lineRule="auto"/>
              <w:rPr>
                <w:rFonts w:ascii="Calibri" w:hAnsi="Calibri" w:cs="Calibri"/>
                <w:sz w:val="17"/>
                <w:szCs w:val="17"/>
              </w:rPr>
            </w:pPr>
            <w:r w:rsidRPr="00072E13">
              <w:rPr>
                <w:rFonts w:ascii="Calibri" w:hAnsi="Calibri" w:cs="Calibri"/>
                <w:color w:val="444444"/>
                <w:sz w:val="17"/>
                <w:szCs w:val="17"/>
              </w:rPr>
              <w:t>A recommendation touching a protected person, protected object, or prohibited weapon may be presented to a human authoriser, creating a decision point that should not exist under IHL.</w:t>
            </w:r>
          </w:p>
        </w:tc>
      </w:tr>
      <w:tr w:rsidR="00CF2859" w:rsidRPr="00AE18A7" w14:paraId="28EF7CF3"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CF0" w14:textId="563A8DFE" w:rsidR="00CF2859" w:rsidRPr="00072E13" w:rsidRDefault="00AE3F9E">
            <w:pPr>
              <w:spacing w:line="260" w:lineRule="auto"/>
              <w:rPr>
                <w:rFonts w:ascii="Calibri" w:hAnsi="Calibri" w:cs="Calibri"/>
                <w:sz w:val="17"/>
                <w:szCs w:val="17"/>
              </w:rPr>
            </w:pPr>
            <w:r w:rsidRPr="00072E13">
              <w:rPr>
                <w:rFonts w:ascii="Calibri" w:hAnsi="Calibri" w:cs="Calibri"/>
                <w:b/>
                <w:bCs/>
                <w:sz w:val="17"/>
                <w:szCs w:val="17"/>
              </w:rPr>
              <w:t xml:space="preserve">GAP-02 </w:t>
            </w:r>
            <w:r w:rsidR="00F454C8" w:rsidRPr="00072E13">
              <w:rPr>
                <w:rFonts w:ascii="Calibri" w:hAnsi="Calibri" w:cs="Calibri"/>
                <w:b/>
                <w:bCs/>
                <w:sz w:val="17"/>
                <w:szCs w:val="17"/>
                <w:lang w:val="en-GB"/>
              </w:rPr>
              <w:t>-</w:t>
            </w:r>
            <w:r w:rsidRPr="00072E13">
              <w:rPr>
                <w:rFonts w:ascii="Calibri" w:hAnsi="Calibri" w:cs="Calibri"/>
                <w:b/>
                <w:bCs/>
                <w:sz w:val="17"/>
                <w:szCs w:val="17"/>
              </w:rPr>
              <w:t xml:space="preserve"> No evidence classification</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CF1" w14:textId="77777777" w:rsidR="00CF2859" w:rsidRPr="00072E13" w:rsidRDefault="00AE3F9E">
            <w:pPr>
              <w:spacing w:line="260" w:lineRule="auto"/>
              <w:rPr>
                <w:rFonts w:ascii="Calibri" w:hAnsi="Calibri" w:cs="Calibri"/>
                <w:sz w:val="17"/>
                <w:szCs w:val="17"/>
              </w:rPr>
            </w:pPr>
            <w:r w:rsidRPr="00072E13">
              <w:rPr>
                <w:rFonts w:ascii="Calibri" w:hAnsi="Calibri" w:cs="Calibri"/>
                <w:sz w:val="17"/>
                <w:szCs w:val="17"/>
              </w:rPr>
              <w:t>AI recommendations are not required to carry a structured classification of the evidence basis, which intelligence types, how reliable, how current, from how many independent sources.</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CF2" w14:textId="77777777" w:rsidR="00CF2859" w:rsidRPr="00072E13" w:rsidRDefault="00AE3F9E">
            <w:pPr>
              <w:spacing w:line="260" w:lineRule="auto"/>
              <w:rPr>
                <w:rFonts w:ascii="Calibri" w:hAnsi="Calibri" w:cs="Calibri"/>
                <w:sz w:val="17"/>
                <w:szCs w:val="17"/>
              </w:rPr>
            </w:pPr>
            <w:r w:rsidRPr="00072E13">
              <w:rPr>
                <w:rFonts w:ascii="Calibri" w:hAnsi="Calibri" w:cs="Calibri"/>
                <w:color w:val="444444"/>
                <w:sz w:val="17"/>
                <w:szCs w:val="17"/>
              </w:rPr>
              <w:t>The human authoriser cannot assess the reliability of what they are being asked to approve. Misidentification risk is invisible.</w:t>
            </w:r>
          </w:p>
        </w:tc>
      </w:tr>
      <w:tr w:rsidR="00CF2859" w:rsidRPr="00AE18A7" w14:paraId="28EF7CF7" w14:textId="77777777">
        <w:tc>
          <w:tcPr>
            <w:tcW w:w="22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CF4" w14:textId="2F8B5C9C" w:rsidR="00CF2859" w:rsidRPr="00072E13" w:rsidRDefault="00AE3F9E">
            <w:pPr>
              <w:spacing w:line="260" w:lineRule="auto"/>
              <w:rPr>
                <w:rFonts w:ascii="Calibri" w:hAnsi="Calibri" w:cs="Calibri"/>
                <w:sz w:val="17"/>
                <w:szCs w:val="17"/>
              </w:rPr>
            </w:pPr>
            <w:r w:rsidRPr="00072E13">
              <w:rPr>
                <w:rFonts w:ascii="Calibri" w:hAnsi="Calibri" w:cs="Calibri"/>
                <w:b/>
                <w:bCs/>
                <w:sz w:val="17"/>
                <w:szCs w:val="17"/>
              </w:rPr>
              <w:t xml:space="preserve">GAP-03 </w:t>
            </w:r>
            <w:r w:rsidR="00F454C8" w:rsidRPr="00072E13">
              <w:rPr>
                <w:rFonts w:ascii="Calibri" w:hAnsi="Calibri" w:cs="Calibri"/>
                <w:b/>
                <w:bCs/>
                <w:sz w:val="17"/>
                <w:szCs w:val="17"/>
                <w:lang w:val="en-GB"/>
              </w:rPr>
              <w:t>-</w:t>
            </w:r>
            <w:r w:rsidRPr="00072E13">
              <w:rPr>
                <w:rFonts w:ascii="Calibri" w:hAnsi="Calibri" w:cs="Calibri"/>
                <w:b/>
                <w:bCs/>
                <w:sz w:val="17"/>
                <w:szCs w:val="17"/>
              </w:rPr>
              <w:t xml:space="preserve"> No calibrated confidence with hard blocks</w:t>
            </w:r>
          </w:p>
        </w:tc>
        <w:tc>
          <w:tcPr>
            <w:tcW w:w="38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CF5" w14:textId="77777777" w:rsidR="00CF2859" w:rsidRPr="00072E13" w:rsidRDefault="00AE3F9E">
            <w:pPr>
              <w:spacing w:line="260" w:lineRule="auto"/>
              <w:rPr>
                <w:rFonts w:ascii="Calibri" w:hAnsi="Calibri" w:cs="Calibri"/>
                <w:sz w:val="17"/>
                <w:szCs w:val="17"/>
              </w:rPr>
            </w:pPr>
            <w:r w:rsidRPr="00072E13">
              <w:rPr>
                <w:rFonts w:ascii="Calibri" w:hAnsi="Calibri" w:cs="Calibri"/>
                <w:color w:val="444444"/>
                <w:sz w:val="17"/>
                <w:szCs w:val="17"/>
              </w:rPr>
              <w:t>AI targeting recommendations are not accompanied by a calibrated, transparent confidence score with defined thresholds below which the recommendation is blocked, not just labelled.</w:t>
            </w:r>
          </w:p>
        </w:tc>
        <w:tc>
          <w:tcPr>
            <w:tcW w:w="30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CF6" w14:textId="77777777" w:rsidR="00CF2859" w:rsidRPr="00072E13" w:rsidRDefault="00AE3F9E">
            <w:pPr>
              <w:spacing w:line="260" w:lineRule="auto"/>
              <w:rPr>
                <w:rFonts w:ascii="Calibri" w:hAnsi="Calibri" w:cs="Calibri"/>
                <w:sz w:val="17"/>
                <w:szCs w:val="17"/>
              </w:rPr>
            </w:pPr>
            <w:r w:rsidRPr="00072E13">
              <w:rPr>
                <w:rFonts w:ascii="Calibri" w:hAnsi="Calibri" w:cs="Calibri"/>
                <w:color w:val="444444"/>
                <w:sz w:val="17"/>
                <w:szCs w:val="17"/>
              </w:rPr>
              <w:t>Low-confidence recommendations reach human authorisers who may approve them based on apparent certainty rather than underlying evidence quality.</w:t>
            </w:r>
          </w:p>
        </w:tc>
      </w:tr>
      <w:tr w:rsidR="00CF2859" w:rsidRPr="00AE18A7" w14:paraId="28EF7CFB"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CF8" w14:textId="30DE3C8D" w:rsidR="00CF2859" w:rsidRPr="00072E13" w:rsidRDefault="00AE3F9E">
            <w:pPr>
              <w:spacing w:line="260" w:lineRule="auto"/>
              <w:rPr>
                <w:rFonts w:ascii="Calibri" w:hAnsi="Calibri" w:cs="Calibri"/>
                <w:sz w:val="17"/>
                <w:szCs w:val="17"/>
              </w:rPr>
            </w:pPr>
            <w:r w:rsidRPr="00072E13">
              <w:rPr>
                <w:rFonts w:ascii="Calibri" w:hAnsi="Calibri" w:cs="Calibri"/>
                <w:b/>
                <w:bCs/>
                <w:sz w:val="17"/>
                <w:szCs w:val="17"/>
              </w:rPr>
              <w:t xml:space="preserve">GAP-04 </w:t>
            </w:r>
            <w:r w:rsidR="00F454C8" w:rsidRPr="00072E13">
              <w:rPr>
                <w:rFonts w:ascii="Calibri" w:hAnsi="Calibri" w:cs="Calibri"/>
                <w:b/>
                <w:bCs/>
                <w:sz w:val="17"/>
                <w:szCs w:val="17"/>
                <w:lang w:val="en-GB"/>
              </w:rPr>
              <w:t>-</w:t>
            </w:r>
            <w:r w:rsidRPr="00072E13">
              <w:rPr>
                <w:rFonts w:ascii="Calibri" w:hAnsi="Calibri" w:cs="Calibri"/>
                <w:b/>
                <w:bCs/>
                <w:sz w:val="17"/>
                <w:szCs w:val="17"/>
              </w:rPr>
              <w:t xml:space="preserve"> Insufficient human authorisation</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CF9" w14:textId="77777777" w:rsidR="00CF2859" w:rsidRPr="00072E13" w:rsidRDefault="00AE3F9E">
            <w:pPr>
              <w:spacing w:line="260" w:lineRule="auto"/>
              <w:rPr>
                <w:rFonts w:ascii="Calibri" w:hAnsi="Calibri" w:cs="Calibri"/>
                <w:sz w:val="17"/>
                <w:szCs w:val="17"/>
              </w:rPr>
            </w:pPr>
            <w:r w:rsidRPr="00072E13">
              <w:rPr>
                <w:rFonts w:ascii="Calibri" w:hAnsi="Calibri" w:cs="Calibri"/>
                <w:color w:val="444444"/>
                <w:sz w:val="17"/>
                <w:szCs w:val="17"/>
              </w:rPr>
              <w:t>'Human in the loop' is often implemented as a single authoriser under time pressure. Legal advisor participation is not structurally required.</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CFA" w14:textId="77777777" w:rsidR="00CF2859" w:rsidRPr="00072E13" w:rsidRDefault="00AE3F9E">
            <w:pPr>
              <w:spacing w:line="260" w:lineRule="auto"/>
              <w:rPr>
                <w:rFonts w:ascii="Calibri" w:hAnsi="Calibri" w:cs="Calibri"/>
                <w:sz w:val="17"/>
                <w:szCs w:val="17"/>
              </w:rPr>
            </w:pPr>
            <w:r w:rsidRPr="00072E13">
              <w:rPr>
                <w:rFonts w:ascii="Calibri" w:hAnsi="Calibri" w:cs="Calibri"/>
                <w:color w:val="444444"/>
                <w:sz w:val="17"/>
                <w:szCs w:val="17"/>
              </w:rPr>
              <w:t>Human authorisation becomes a formality rather than a genuine check. Legal compliance is not independently verified on each targeting decision.</w:t>
            </w:r>
          </w:p>
        </w:tc>
      </w:tr>
      <w:tr w:rsidR="00CF2859" w:rsidRPr="00AE18A7" w14:paraId="28EF7CFF" w14:textId="77777777">
        <w:tc>
          <w:tcPr>
            <w:tcW w:w="22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CFC" w14:textId="3475B960" w:rsidR="00CF2859" w:rsidRPr="00072E13" w:rsidRDefault="00AE3F9E">
            <w:pPr>
              <w:spacing w:line="260" w:lineRule="auto"/>
              <w:rPr>
                <w:rFonts w:ascii="Calibri" w:hAnsi="Calibri" w:cs="Calibri"/>
                <w:sz w:val="17"/>
                <w:szCs w:val="17"/>
              </w:rPr>
            </w:pPr>
            <w:r w:rsidRPr="00072E13">
              <w:rPr>
                <w:rFonts w:ascii="Calibri" w:hAnsi="Calibri" w:cs="Calibri"/>
                <w:b/>
                <w:bCs/>
                <w:sz w:val="17"/>
                <w:szCs w:val="17"/>
              </w:rPr>
              <w:t xml:space="preserve">GAP-05 </w:t>
            </w:r>
            <w:r w:rsidR="00F454C8" w:rsidRPr="00072E13">
              <w:rPr>
                <w:rFonts w:ascii="Calibri" w:hAnsi="Calibri" w:cs="Calibri"/>
                <w:b/>
                <w:bCs/>
                <w:sz w:val="17"/>
                <w:szCs w:val="17"/>
                <w:lang w:val="en-GB"/>
              </w:rPr>
              <w:t>-</w:t>
            </w:r>
            <w:r w:rsidRPr="00072E13">
              <w:rPr>
                <w:rFonts w:ascii="Calibri" w:hAnsi="Calibri" w:cs="Calibri"/>
                <w:b/>
                <w:bCs/>
                <w:sz w:val="17"/>
                <w:szCs w:val="17"/>
              </w:rPr>
              <w:t xml:space="preserve"> Inadequate post-action accountability</w:t>
            </w:r>
          </w:p>
        </w:tc>
        <w:tc>
          <w:tcPr>
            <w:tcW w:w="38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CFD" w14:textId="77777777" w:rsidR="00CF2859" w:rsidRPr="00072E13" w:rsidRDefault="00AE3F9E">
            <w:pPr>
              <w:spacing w:line="260" w:lineRule="auto"/>
              <w:rPr>
                <w:rFonts w:ascii="Calibri" w:hAnsi="Calibri" w:cs="Calibri"/>
                <w:sz w:val="17"/>
                <w:szCs w:val="17"/>
              </w:rPr>
            </w:pPr>
            <w:r w:rsidRPr="00072E13">
              <w:rPr>
                <w:rFonts w:ascii="Calibri" w:hAnsi="Calibri" w:cs="Calibri"/>
                <w:color w:val="444444"/>
                <w:sz w:val="17"/>
                <w:szCs w:val="17"/>
              </w:rPr>
              <w:t>Audit trails do not systematically compare pre-action assessments against post-action reality. No feedback loop identifies systematic AI error.</w:t>
            </w:r>
          </w:p>
        </w:tc>
        <w:tc>
          <w:tcPr>
            <w:tcW w:w="30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CFE" w14:textId="77777777" w:rsidR="00CF2859" w:rsidRPr="00072E13" w:rsidRDefault="00AE3F9E">
            <w:pPr>
              <w:spacing w:line="260" w:lineRule="auto"/>
              <w:rPr>
                <w:rFonts w:ascii="Calibri" w:hAnsi="Calibri" w:cs="Calibri"/>
                <w:sz w:val="17"/>
                <w:szCs w:val="17"/>
              </w:rPr>
            </w:pPr>
            <w:r w:rsidRPr="00072E13">
              <w:rPr>
                <w:rFonts w:ascii="Calibri" w:hAnsi="Calibri" w:cs="Calibri"/>
                <w:color w:val="444444"/>
                <w:sz w:val="17"/>
                <w:szCs w:val="17"/>
              </w:rPr>
              <w:t>Accountability after an unlawful strike depends on assertion, not documentation.</w:t>
            </w:r>
          </w:p>
        </w:tc>
      </w:tr>
    </w:tbl>
    <w:p w14:paraId="28EF7D00" w14:textId="77777777" w:rsidR="00CF2859" w:rsidRPr="00AE18A7" w:rsidRDefault="00CF2859">
      <w:pPr>
        <w:spacing w:before="80"/>
        <w:rPr>
          <w:rFonts w:ascii="Calibri" w:hAnsi="Calibri" w:cs="Calibri"/>
        </w:rPr>
      </w:pPr>
    </w:p>
    <w:p w14:paraId="28EF7D01" w14:textId="77777777" w:rsidR="00CF2859" w:rsidRPr="00AE18A7" w:rsidRDefault="00AE3F9E" w:rsidP="00F454C8">
      <w:pPr>
        <w:pStyle w:val="Heading10"/>
      </w:pPr>
      <w:bookmarkStart w:id="8" w:name="_Toc229741673"/>
      <w:r w:rsidRPr="00AE18A7">
        <w:t>4. EAAP-LGF Architecture Overview</w:t>
      </w:r>
      <w:bookmarkEnd w:id="8"/>
    </w:p>
    <w:p w14:paraId="28EF7D02" w14:textId="77777777" w:rsidR="00CF2859" w:rsidRPr="00AE18A7" w:rsidRDefault="00AE3F9E" w:rsidP="00F454C8">
      <w:pPr>
        <w:pStyle w:val="Heading20"/>
      </w:pPr>
      <w:bookmarkStart w:id="9" w:name="_Toc229741674"/>
      <w:r w:rsidRPr="00AE18A7">
        <w:t>4.1 Design Principles</w:t>
      </w:r>
      <w:bookmarkEnd w:id="9"/>
    </w:p>
    <w:p w14:paraId="28EF7D03" w14:textId="77777777" w:rsidR="00CF2859" w:rsidRPr="00AE18A7" w:rsidRDefault="00AE3F9E">
      <w:pPr>
        <w:spacing w:before="80" w:line="276" w:lineRule="auto"/>
        <w:rPr>
          <w:rFonts w:ascii="Calibri" w:hAnsi="Calibri" w:cs="Calibri"/>
        </w:rPr>
      </w:pPr>
      <w:r w:rsidRPr="00AE18A7">
        <w:rPr>
          <w:rFonts w:ascii="Calibri" w:hAnsi="Calibri" w:cs="Calibri"/>
        </w:rPr>
        <w:t>EAAP-LGF is organised as a six-layer sequential gate model. Each layer must be passed before the recommendation proceeds to the next. Failure at any layer produces a hard block that cannot be bypassed by authoriser rank, operational urgency, or command authority.</w:t>
      </w:r>
    </w:p>
    <w:p w14:paraId="28EF7D04" w14:textId="6F983A74" w:rsidR="00CF2859" w:rsidRPr="00AE18A7" w:rsidRDefault="00AE3F9E">
      <w:pPr>
        <w:spacing w:before="80" w:line="276" w:lineRule="auto"/>
        <w:rPr>
          <w:rFonts w:ascii="Calibri" w:hAnsi="Calibri" w:cs="Calibri"/>
        </w:rPr>
      </w:pPr>
      <w:r w:rsidRPr="00AE18A7">
        <w:rPr>
          <w:rFonts w:ascii="Calibri" w:hAnsi="Calibri" w:cs="Calibri"/>
        </w:rPr>
        <w:t>The asymmetric threshold principle governs all confidence requirements. In lethal decision support, the cost of a false negative blocking a lawful recommendation is always less than the cost of a false positive permitting an unlawful or erroneous recommendation. Thresholds are therefore set conservatively.</w:t>
      </w:r>
    </w:p>
    <w:p w14:paraId="28EF7D05" w14:textId="77777777" w:rsidR="00CF2859" w:rsidRPr="00AE18A7" w:rsidRDefault="00CF2859">
      <w:pPr>
        <w:spacing w:before="60"/>
        <w:rPr>
          <w:rFonts w:ascii="Calibri" w:hAnsi="Calibri" w:cs="Calibri"/>
        </w:rPr>
      </w:pPr>
    </w:p>
    <w:p w14:paraId="28EF7D06" w14:textId="77777777" w:rsidR="00CF2859" w:rsidRPr="00AE18A7" w:rsidRDefault="00AE3F9E" w:rsidP="00F454C8">
      <w:pPr>
        <w:pStyle w:val="Heading20"/>
      </w:pPr>
      <w:bookmarkStart w:id="10" w:name="_Toc229741675"/>
      <w:r w:rsidRPr="00AE18A7">
        <w:t>4.2 The Six-Layer Model</w:t>
      </w:r>
      <w:bookmarkEnd w:id="10"/>
    </w:p>
    <w:tbl>
      <w:tblPr>
        <w:tblW w:w="9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3"/>
        <w:gridCol w:w="2361"/>
        <w:gridCol w:w="4761"/>
        <w:gridCol w:w="1117"/>
      </w:tblGrid>
      <w:tr w:rsidR="00CF2859" w:rsidRPr="00AE18A7" w14:paraId="28EF7D0B" w14:textId="77777777">
        <w:trPr>
          <w:tblHeader/>
        </w:trPr>
        <w:tc>
          <w:tcPr>
            <w:tcW w:w="800" w:type="dxa"/>
            <w:tcBorders>
              <w:top w:val="single" w:sz="1" w:space="0" w:color="1A1A1A"/>
              <w:left w:val="single" w:sz="1" w:space="0" w:color="1A1A1A"/>
              <w:bottom w:val="single" w:sz="1" w:space="0" w:color="1A1A1A"/>
              <w:right w:val="single" w:sz="1" w:space="0" w:color="1A1A1A"/>
            </w:tcBorders>
            <w:shd w:val="clear" w:color="auto" w:fill="1A1A1A"/>
            <w:tcMar>
              <w:top w:w="60" w:type="dxa"/>
              <w:left w:w="100" w:type="dxa"/>
              <w:bottom w:w="60" w:type="dxa"/>
              <w:right w:w="100" w:type="dxa"/>
            </w:tcMar>
          </w:tcPr>
          <w:p w14:paraId="28EF7D07" w14:textId="77777777" w:rsidR="00CF2859" w:rsidRPr="00AE18A7" w:rsidRDefault="00AE3F9E">
            <w:pPr>
              <w:rPr>
                <w:rFonts w:ascii="Calibri" w:hAnsi="Calibri" w:cs="Calibri"/>
              </w:rPr>
            </w:pPr>
            <w:r w:rsidRPr="00AE18A7">
              <w:rPr>
                <w:rFonts w:ascii="Calibri" w:hAnsi="Calibri" w:cs="Calibri"/>
                <w:b/>
                <w:bCs/>
                <w:color w:val="FFFFFF"/>
                <w:sz w:val="17"/>
                <w:szCs w:val="17"/>
              </w:rPr>
              <w:t>Layer</w:t>
            </w:r>
          </w:p>
        </w:tc>
        <w:tc>
          <w:tcPr>
            <w:tcW w:w="2400" w:type="dxa"/>
            <w:tcBorders>
              <w:top w:val="single" w:sz="1" w:space="0" w:color="1A1A1A"/>
              <w:left w:val="single" w:sz="1" w:space="0" w:color="1A1A1A"/>
              <w:bottom w:val="single" w:sz="1" w:space="0" w:color="1A1A1A"/>
              <w:right w:val="single" w:sz="1" w:space="0" w:color="1A1A1A"/>
            </w:tcBorders>
            <w:shd w:val="clear" w:color="auto" w:fill="1A1A1A"/>
            <w:tcMar>
              <w:top w:w="60" w:type="dxa"/>
              <w:left w:w="100" w:type="dxa"/>
              <w:bottom w:w="60" w:type="dxa"/>
              <w:right w:w="100" w:type="dxa"/>
            </w:tcMar>
          </w:tcPr>
          <w:p w14:paraId="28EF7D08" w14:textId="77777777" w:rsidR="00CF2859" w:rsidRPr="00AE18A7" w:rsidRDefault="00AE3F9E">
            <w:pPr>
              <w:rPr>
                <w:rFonts w:ascii="Calibri" w:hAnsi="Calibri" w:cs="Calibri"/>
              </w:rPr>
            </w:pPr>
            <w:r w:rsidRPr="00AE18A7">
              <w:rPr>
                <w:rFonts w:ascii="Calibri" w:hAnsi="Calibri" w:cs="Calibri"/>
                <w:b/>
                <w:bCs/>
                <w:color w:val="FFFFFF"/>
                <w:sz w:val="17"/>
                <w:szCs w:val="17"/>
              </w:rPr>
              <w:t>Name</w:t>
            </w:r>
          </w:p>
        </w:tc>
        <w:tc>
          <w:tcPr>
            <w:tcW w:w="4872" w:type="dxa"/>
            <w:tcBorders>
              <w:top w:val="single" w:sz="1" w:space="0" w:color="1A1A1A"/>
              <w:left w:val="single" w:sz="1" w:space="0" w:color="1A1A1A"/>
              <w:bottom w:val="single" w:sz="1" w:space="0" w:color="1A1A1A"/>
              <w:right w:val="single" w:sz="1" w:space="0" w:color="1A1A1A"/>
            </w:tcBorders>
            <w:shd w:val="clear" w:color="auto" w:fill="1A1A1A"/>
            <w:tcMar>
              <w:top w:w="60" w:type="dxa"/>
              <w:left w:w="100" w:type="dxa"/>
              <w:bottom w:w="60" w:type="dxa"/>
              <w:right w:w="100" w:type="dxa"/>
            </w:tcMar>
          </w:tcPr>
          <w:p w14:paraId="28EF7D09" w14:textId="77777777" w:rsidR="00CF2859" w:rsidRPr="00AE18A7" w:rsidRDefault="00AE3F9E">
            <w:pPr>
              <w:rPr>
                <w:rFonts w:ascii="Calibri" w:hAnsi="Calibri" w:cs="Calibri"/>
              </w:rPr>
            </w:pPr>
            <w:r w:rsidRPr="00AE18A7">
              <w:rPr>
                <w:rFonts w:ascii="Calibri" w:hAnsi="Calibri" w:cs="Calibri"/>
                <w:b/>
                <w:bCs/>
                <w:color w:val="FFFFFF"/>
                <w:sz w:val="17"/>
                <w:szCs w:val="17"/>
              </w:rPr>
              <w:t>Function</w:t>
            </w:r>
          </w:p>
        </w:tc>
        <w:tc>
          <w:tcPr>
            <w:tcW w:w="960" w:type="dxa"/>
            <w:tcBorders>
              <w:top w:val="single" w:sz="1" w:space="0" w:color="1A1A1A"/>
              <w:left w:val="single" w:sz="1" w:space="0" w:color="1A1A1A"/>
              <w:bottom w:val="single" w:sz="1" w:space="0" w:color="1A1A1A"/>
              <w:right w:val="single" w:sz="1" w:space="0" w:color="1A1A1A"/>
            </w:tcBorders>
            <w:shd w:val="clear" w:color="auto" w:fill="1A1A1A"/>
            <w:tcMar>
              <w:top w:w="60" w:type="dxa"/>
              <w:left w:w="100" w:type="dxa"/>
              <w:bottom w:w="60" w:type="dxa"/>
              <w:right w:w="100" w:type="dxa"/>
            </w:tcMar>
          </w:tcPr>
          <w:p w14:paraId="28EF7D0A" w14:textId="77777777" w:rsidR="00CF2859" w:rsidRPr="00AE18A7" w:rsidRDefault="00AE3F9E">
            <w:pPr>
              <w:rPr>
                <w:rFonts w:ascii="Calibri" w:hAnsi="Calibri" w:cs="Calibri"/>
              </w:rPr>
            </w:pPr>
            <w:r w:rsidRPr="00AE18A7">
              <w:rPr>
                <w:rFonts w:ascii="Calibri" w:hAnsi="Calibri" w:cs="Calibri"/>
                <w:b/>
                <w:bCs/>
                <w:color w:val="FFFFFF"/>
                <w:sz w:val="17"/>
                <w:szCs w:val="17"/>
              </w:rPr>
              <w:t>Overridable?</w:t>
            </w:r>
          </w:p>
        </w:tc>
      </w:tr>
      <w:tr w:rsidR="00CF2859" w:rsidRPr="00AE18A7" w14:paraId="28EF7D10" w14:textId="77777777">
        <w:tc>
          <w:tcPr>
            <w:tcW w:w="8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D0C" w14:textId="77777777" w:rsidR="00CF2859" w:rsidRPr="00AE18A7" w:rsidRDefault="00AE3F9E">
            <w:pPr>
              <w:spacing w:line="260" w:lineRule="auto"/>
              <w:rPr>
                <w:rFonts w:ascii="Calibri" w:hAnsi="Calibri" w:cs="Calibri"/>
              </w:rPr>
            </w:pPr>
            <w:r w:rsidRPr="00AE18A7">
              <w:rPr>
                <w:rFonts w:ascii="Calibri" w:hAnsi="Calibri" w:cs="Calibri"/>
              </w:rPr>
              <w:t>-1</w:t>
            </w:r>
          </w:p>
        </w:tc>
        <w:tc>
          <w:tcPr>
            <w:tcW w:w="24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D0D"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Prohibition Layer</w:t>
            </w:r>
          </w:p>
        </w:tc>
        <w:tc>
          <w:tcPr>
            <w:tcW w:w="4872"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D0E"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Intercepts recommendations touching IHL-prohibited categories. Hardware-enforced and cryptographically non-overridable. Addresses GAP-01.</w:t>
            </w:r>
          </w:p>
        </w:tc>
        <w:tc>
          <w:tcPr>
            <w:tcW w:w="96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D0F" w14:textId="3ADF5D1E" w:rsidR="00CF2859" w:rsidRPr="00AE18A7" w:rsidRDefault="00AE3F9E">
            <w:pPr>
              <w:spacing w:line="260" w:lineRule="auto"/>
              <w:rPr>
                <w:rFonts w:ascii="Calibri" w:hAnsi="Calibri" w:cs="Calibri"/>
              </w:rPr>
            </w:pPr>
            <w:r w:rsidRPr="00AE18A7">
              <w:rPr>
                <w:rFonts w:ascii="Calibri" w:hAnsi="Calibri" w:cs="Calibri"/>
                <w:color w:val="444444"/>
                <w:sz w:val="17"/>
                <w:szCs w:val="17"/>
              </w:rPr>
              <w:t>NO Absolute</w:t>
            </w:r>
          </w:p>
        </w:tc>
      </w:tr>
      <w:tr w:rsidR="00CF2859" w:rsidRPr="00AE18A7" w14:paraId="28EF7D15" w14:textId="77777777">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D11"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0</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D12"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Intelligence Assessment</w:t>
            </w:r>
          </w:p>
        </w:tc>
        <w:tc>
          <w:tcPr>
            <w:tcW w:w="487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D13"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Four-component compound gate: TIC (GAP-02), Legal Compliance, CDE, Situational Currency.</w:t>
            </w:r>
          </w:p>
        </w:tc>
        <w:tc>
          <w:tcPr>
            <w:tcW w:w="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D14" w14:textId="1F28797C" w:rsidR="00CF2859" w:rsidRPr="00AE18A7" w:rsidRDefault="00AE3F9E">
            <w:pPr>
              <w:spacing w:line="260" w:lineRule="auto"/>
              <w:rPr>
                <w:rFonts w:ascii="Calibri" w:hAnsi="Calibri" w:cs="Calibri"/>
              </w:rPr>
            </w:pPr>
            <w:r w:rsidRPr="00AE18A7">
              <w:rPr>
                <w:rFonts w:ascii="Calibri" w:hAnsi="Calibri" w:cs="Calibri"/>
                <w:color w:val="444444"/>
                <w:sz w:val="17"/>
                <w:szCs w:val="17"/>
              </w:rPr>
              <w:t>NO Hard blocks</w:t>
            </w:r>
          </w:p>
        </w:tc>
      </w:tr>
      <w:tr w:rsidR="00CF2859" w:rsidRPr="00AE18A7" w14:paraId="28EF7D1A" w14:textId="77777777">
        <w:tc>
          <w:tcPr>
            <w:tcW w:w="8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D16"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1</w:t>
            </w:r>
          </w:p>
        </w:tc>
        <w:tc>
          <w:tcPr>
            <w:tcW w:w="24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D17"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Confidence &amp; Uncertainty</w:t>
            </w:r>
          </w:p>
        </w:tc>
        <w:tc>
          <w:tcPr>
            <w:tcW w:w="4872"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D18"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Calibrated confidence scoring with thresholds. Hard blocks below minimum. Mandatory Known Unknowns disclosure. Addresses GAP-03.</w:t>
            </w:r>
          </w:p>
        </w:tc>
        <w:tc>
          <w:tcPr>
            <w:tcW w:w="96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D19"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NO below threshold</w:t>
            </w:r>
          </w:p>
        </w:tc>
      </w:tr>
      <w:tr w:rsidR="00CF2859" w:rsidRPr="00AE18A7" w14:paraId="28EF7D1F" w14:textId="77777777">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D1B"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2</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D1C"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Lethality Tier Model</w:t>
            </w:r>
          </w:p>
        </w:tc>
        <w:tc>
          <w:tcPr>
            <w:tcW w:w="487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D1D"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Risk classification: L0 (non-kinetic reversible) through L4 (mass casualty potential).</w:t>
            </w:r>
          </w:p>
        </w:tc>
        <w:tc>
          <w:tcPr>
            <w:tcW w:w="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D1E" w14:textId="06A92BAF" w:rsidR="00CF2859" w:rsidRPr="00AE18A7" w:rsidRDefault="00AE3F9E">
            <w:pPr>
              <w:spacing w:line="260" w:lineRule="auto"/>
              <w:rPr>
                <w:rFonts w:ascii="Calibri" w:hAnsi="Calibri" w:cs="Calibri"/>
              </w:rPr>
            </w:pPr>
            <w:r w:rsidRPr="00AE18A7">
              <w:rPr>
                <w:rFonts w:ascii="Calibri" w:hAnsi="Calibri" w:cs="Calibri"/>
                <w:color w:val="444444"/>
                <w:sz w:val="17"/>
                <w:szCs w:val="17"/>
              </w:rPr>
              <w:t>NO Effect-determined</w:t>
            </w:r>
          </w:p>
        </w:tc>
      </w:tr>
      <w:tr w:rsidR="00CF2859" w:rsidRPr="00AE18A7" w14:paraId="28EF7D24" w14:textId="77777777">
        <w:tc>
          <w:tcPr>
            <w:tcW w:w="8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D20"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3</w:t>
            </w:r>
          </w:p>
        </w:tc>
        <w:tc>
          <w:tcPr>
            <w:tcW w:w="24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D21"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Human Authorisation</w:t>
            </w:r>
          </w:p>
        </w:tc>
        <w:tc>
          <w:tcPr>
            <w:tcW w:w="4872"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D22"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Multi-authoriser with mandatory legal advisor, cognitive confirmation, approval tokens. Addresses GAP-04.</w:t>
            </w:r>
          </w:p>
        </w:tc>
        <w:tc>
          <w:tcPr>
            <w:tcW w:w="96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D23" w14:textId="718B7C11" w:rsidR="00CF2859" w:rsidRPr="00AE18A7" w:rsidRDefault="00AE3F9E">
            <w:pPr>
              <w:spacing w:line="260" w:lineRule="auto"/>
              <w:rPr>
                <w:rFonts w:ascii="Calibri" w:hAnsi="Calibri" w:cs="Calibri"/>
              </w:rPr>
            </w:pPr>
            <w:r w:rsidRPr="00AE18A7">
              <w:rPr>
                <w:rFonts w:ascii="Calibri" w:hAnsi="Calibri" w:cs="Calibri"/>
                <w:color w:val="444444"/>
                <w:sz w:val="17"/>
                <w:szCs w:val="17"/>
              </w:rPr>
              <w:t>NO Minimum count</w:t>
            </w:r>
          </w:p>
        </w:tc>
      </w:tr>
      <w:tr w:rsidR="00CF2859" w:rsidRPr="00AE18A7" w14:paraId="28EF7D29" w14:textId="77777777">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D25"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4</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D26"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Audit &amp; Accountability</w:t>
            </w:r>
          </w:p>
        </w:tc>
        <w:tc>
          <w:tcPr>
            <w:tcW w:w="487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D27"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Immutable pre/post-action record. Mandatory post-action review. Discrepancy detection. Addresses GAP-05.</w:t>
            </w:r>
          </w:p>
        </w:tc>
        <w:tc>
          <w:tcPr>
            <w:tcW w:w="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D28" w14:textId="63771489" w:rsidR="00CF2859" w:rsidRPr="00AE18A7" w:rsidRDefault="00AE3F9E">
            <w:pPr>
              <w:spacing w:line="260" w:lineRule="auto"/>
              <w:rPr>
                <w:rFonts w:ascii="Calibri" w:hAnsi="Calibri" w:cs="Calibri"/>
              </w:rPr>
            </w:pPr>
            <w:r w:rsidRPr="00AE18A7">
              <w:rPr>
                <w:rFonts w:ascii="Calibri" w:hAnsi="Calibri" w:cs="Calibri"/>
                <w:color w:val="444444"/>
                <w:sz w:val="17"/>
                <w:szCs w:val="17"/>
              </w:rPr>
              <w:t>NO Cannot be disabled</w:t>
            </w:r>
          </w:p>
        </w:tc>
      </w:tr>
    </w:tbl>
    <w:p w14:paraId="28EF7D2A" w14:textId="77777777" w:rsidR="00CF2859" w:rsidRPr="00AE18A7" w:rsidRDefault="00CF2859">
      <w:pPr>
        <w:spacing w:before="80"/>
        <w:rPr>
          <w:rFonts w:ascii="Calibri" w:hAnsi="Calibri" w:cs="Calibri"/>
        </w:rPr>
      </w:pPr>
    </w:p>
    <w:p w14:paraId="28EF7D2B" w14:textId="14B28604" w:rsidR="00CF2859" w:rsidRPr="00AE18A7" w:rsidRDefault="00AE3F9E">
      <w:pPr>
        <w:pStyle w:val="Heading10"/>
      </w:pPr>
      <w:bookmarkStart w:id="11" w:name="_Toc229741676"/>
      <w:r w:rsidRPr="00AE18A7">
        <w:t xml:space="preserve">5. </w:t>
      </w:r>
      <w:r w:rsidR="008C67C1" w:rsidRPr="00AE18A7">
        <w:t>Layer -1</w:t>
      </w:r>
      <w:r w:rsidRPr="00AE18A7">
        <w:t>: The Prohibition Layer</w:t>
      </w:r>
      <w:bookmarkEnd w:id="11"/>
    </w:p>
    <w:p w14:paraId="28EF7D2C" w14:textId="730F63F8" w:rsidR="00CF2859" w:rsidRPr="00AE18A7" w:rsidRDefault="008C67C1">
      <w:pPr>
        <w:spacing w:before="80" w:line="276" w:lineRule="auto"/>
        <w:rPr>
          <w:rFonts w:ascii="Calibri" w:hAnsi="Calibri" w:cs="Calibri"/>
        </w:rPr>
      </w:pPr>
      <w:r w:rsidRPr="00AE18A7">
        <w:rPr>
          <w:rFonts w:ascii="Calibri" w:hAnsi="Calibri" w:cs="Calibri"/>
        </w:rPr>
        <w:t>Layer -1</w:t>
      </w:r>
      <w:r w:rsidR="00AE3F9E" w:rsidRPr="00AE18A7">
        <w:rPr>
          <w:rFonts w:ascii="Calibri" w:hAnsi="Calibri" w:cs="Calibri"/>
        </w:rPr>
        <w:t xml:space="preserve"> is the most important element of the framework. It intercepts any recommendation touching an IHL-prohibited category before that recommendation reaches a human authoriser. The design intent is not to make the human decision easier it is to ensure that certain decision points do not arise at all, because IHL recognises that human judgement fails under pressure and the prohibitions exist precisely to prevent atrocities even when participants believe they have good reasons to cross the line.</w:t>
      </w:r>
    </w:p>
    <w:p w14:paraId="28EF7D2D" w14:textId="59FAF74C" w:rsidR="00CF2859" w:rsidRPr="00AE18A7" w:rsidRDefault="00AE3F9E">
      <w:pPr>
        <w:spacing w:before="80" w:line="276" w:lineRule="auto"/>
        <w:rPr>
          <w:rFonts w:ascii="Calibri" w:hAnsi="Calibri" w:cs="Calibri"/>
        </w:rPr>
      </w:pPr>
      <w:r w:rsidRPr="00AE18A7">
        <w:rPr>
          <w:rFonts w:ascii="Calibri" w:hAnsi="Calibri" w:cs="Calibri"/>
        </w:rPr>
        <w:t>The full IHL basis for each prohibition category is set out in Section 12. The prohibition layer directly addresses GAP-01: the governance question of whether a system could generate recommendations targeting protected persons would be structurally answered no such recommendation can be generated, because the deterministic prohibition enforcement mechanism intercepts and blocks it before it is presented to any human operator.</w:t>
      </w:r>
    </w:p>
    <w:p w14:paraId="28EF7D2E" w14:textId="77777777" w:rsidR="00CF2859" w:rsidRPr="00AE18A7" w:rsidRDefault="00CF2859">
      <w:pPr>
        <w:spacing w:before="40"/>
        <w:rPr>
          <w:rFonts w:ascii="Calibri" w:hAnsi="Calibri" w:cs="Calibri"/>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6"/>
        <w:gridCol w:w="4536"/>
      </w:tblGrid>
      <w:tr w:rsidR="00CF2859" w:rsidRPr="00AE18A7" w14:paraId="28EF7D31" w14:textId="77777777">
        <w:trPr>
          <w:tblHeader/>
        </w:trPr>
        <w:tc>
          <w:tcPr>
            <w:tcW w:w="4536" w:type="dxa"/>
            <w:tcBorders>
              <w:top w:val="single" w:sz="1" w:space="0" w:color="1A1A1A"/>
              <w:left w:val="single" w:sz="1" w:space="0" w:color="1A1A1A"/>
              <w:bottom w:val="single" w:sz="1" w:space="0" w:color="1A1A1A"/>
              <w:right w:val="single" w:sz="1" w:space="0" w:color="1A1A1A"/>
            </w:tcBorders>
            <w:shd w:val="clear" w:color="auto" w:fill="1A1A1A"/>
            <w:tcMar>
              <w:top w:w="60" w:type="dxa"/>
              <w:left w:w="100" w:type="dxa"/>
              <w:bottom w:w="60" w:type="dxa"/>
              <w:right w:w="100" w:type="dxa"/>
            </w:tcMar>
          </w:tcPr>
          <w:p w14:paraId="28EF7D2F" w14:textId="77777777" w:rsidR="00CF2859" w:rsidRPr="00AE18A7" w:rsidRDefault="00AE3F9E">
            <w:pPr>
              <w:rPr>
                <w:rFonts w:ascii="Calibri" w:hAnsi="Calibri" w:cs="Calibri"/>
              </w:rPr>
            </w:pPr>
            <w:r w:rsidRPr="00AE18A7">
              <w:rPr>
                <w:rFonts w:ascii="Calibri" w:hAnsi="Calibri" w:cs="Calibri"/>
                <w:b/>
                <w:bCs/>
                <w:color w:val="FFFFFF"/>
                <w:sz w:val="17"/>
                <w:szCs w:val="17"/>
              </w:rPr>
              <w:t>Prohibition Category</w:t>
            </w:r>
          </w:p>
        </w:tc>
        <w:tc>
          <w:tcPr>
            <w:tcW w:w="4536" w:type="dxa"/>
            <w:tcBorders>
              <w:top w:val="single" w:sz="1" w:space="0" w:color="1A1A1A"/>
              <w:left w:val="single" w:sz="1" w:space="0" w:color="1A1A1A"/>
              <w:bottom w:val="single" w:sz="1" w:space="0" w:color="1A1A1A"/>
              <w:right w:val="single" w:sz="1" w:space="0" w:color="1A1A1A"/>
            </w:tcBorders>
            <w:shd w:val="clear" w:color="auto" w:fill="1A1A1A"/>
            <w:tcMar>
              <w:top w:w="60" w:type="dxa"/>
              <w:left w:w="100" w:type="dxa"/>
              <w:bottom w:w="60" w:type="dxa"/>
              <w:right w:w="100" w:type="dxa"/>
            </w:tcMar>
          </w:tcPr>
          <w:p w14:paraId="28EF7D30" w14:textId="77777777" w:rsidR="00CF2859" w:rsidRPr="00AE18A7" w:rsidRDefault="00AE3F9E">
            <w:pPr>
              <w:rPr>
                <w:rFonts w:ascii="Calibri" w:hAnsi="Calibri" w:cs="Calibri"/>
              </w:rPr>
            </w:pPr>
            <w:r w:rsidRPr="00AE18A7">
              <w:rPr>
                <w:rFonts w:ascii="Calibri" w:hAnsi="Calibri" w:cs="Calibri"/>
                <w:b/>
                <w:bCs/>
                <w:color w:val="FFFFFF"/>
                <w:sz w:val="17"/>
                <w:szCs w:val="17"/>
              </w:rPr>
              <w:t>IHL Basis</w:t>
            </w:r>
          </w:p>
        </w:tc>
      </w:tr>
      <w:tr w:rsidR="00CF2859" w:rsidRPr="00AE18A7" w14:paraId="28EF7D34" w14:textId="77777777">
        <w:tc>
          <w:tcPr>
            <w:tcW w:w="4536"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D32"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Attacks on civilians</w:t>
            </w:r>
          </w:p>
        </w:tc>
        <w:tc>
          <w:tcPr>
            <w:tcW w:w="4536"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D33" w14:textId="43BA4171" w:rsidR="00CF2859" w:rsidRPr="00AE18A7" w:rsidRDefault="00AE3F9E">
            <w:pPr>
              <w:spacing w:line="260" w:lineRule="auto"/>
              <w:rPr>
                <w:rFonts w:ascii="Calibri" w:hAnsi="Calibri" w:cs="Calibri"/>
              </w:rPr>
            </w:pPr>
            <w:r w:rsidRPr="00AE18A7">
              <w:rPr>
                <w:rFonts w:ascii="Calibri" w:hAnsi="Calibri" w:cs="Calibri"/>
                <w:color w:val="444444"/>
                <w:sz w:val="17"/>
                <w:szCs w:val="17"/>
              </w:rPr>
              <w:t xml:space="preserve">GCIV, AP I Art. 51 </w:t>
            </w:r>
            <w:r w:rsidR="00F454C8" w:rsidRPr="00AE18A7">
              <w:rPr>
                <w:rFonts w:ascii="Calibri" w:hAnsi="Calibri" w:cs="Calibri"/>
                <w:color w:val="444444"/>
                <w:sz w:val="17"/>
                <w:szCs w:val="17"/>
                <w:lang w:val="en-GB"/>
              </w:rPr>
              <w:t>-</w:t>
            </w:r>
            <w:r w:rsidRPr="00AE18A7">
              <w:rPr>
                <w:rFonts w:ascii="Calibri" w:hAnsi="Calibri" w:cs="Calibri"/>
                <w:color w:val="444444"/>
                <w:sz w:val="17"/>
                <w:szCs w:val="17"/>
              </w:rPr>
              <w:t xml:space="preserve"> presumption of civilian status</w:t>
            </w:r>
          </w:p>
        </w:tc>
      </w:tr>
      <w:tr w:rsidR="00CF2859" w:rsidRPr="00AE18A7" w14:paraId="28EF7D37" w14:textId="77777777">
        <w:tc>
          <w:tcPr>
            <w:tcW w:w="453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D35"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Attacks on hors de combat</w:t>
            </w:r>
          </w:p>
        </w:tc>
        <w:tc>
          <w:tcPr>
            <w:tcW w:w="453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D36" w14:textId="0CF3A423" w:rsidR="00CF2859" w:rsidRPr="00AE18A7" w:rsidRDefault="00AE3F9E">
            <w:pPr>
              <w:spacing w:line="260" w:lineRule="auto"/>
              <w:rPr>
                <w:rFonts w:ascii="Calibri" w:hAnsi="Calibri" w:cs="Calibri"/>
              </w:rPr>
            </w:pPr>
            <w:r w:rsidRPr="00AE18A7">
              <w:rPr>
                <w:rFonts w:ascii="Calibri" w:hAnsi="Calibri" w:cs="Calibri"/>
                <w:color w:val="444444"/>
                <w:sz w:val="17"/>
                <w:szCs w:val="17"/>
              </w:rPr>
              <w:t xml:space="preserve">GCIII, AP I Art. 41 </w:t>
            </w:r>
            <w:r w:rsidR="00F454C8" w:rsidRPr="00AE18A7">
              <w:rPr>
                <w:rFonts w:ascii="Calibri" w:hAnsi="Calibri" w:cs="Calibri"/>
                <w:color w:val="444444"/>
                <w:sz w:val="17"/>
                <w:szCs w:val="17"/>
                <w:lang w:val="en-GB"/>
              </w:rPr>
              <w:t>-</w:t>
            </w:r>
            <w:r w:rsidRPr="00AE18A7">
              <w:rPr>
                <w:rFonts w:ascii="Calibri" w:hAnsi="Calibri" w:cs="Calibri"/>
                <w:color w:val="444444"/>
                <w:sz w:val="17"/>
                <w:szCs w:val="17"/>
              </w:rPr>
              <w:t xml:space="preserve"> wounded, surrendering, captured</w:t>
            </w:r>
          </w:p>
        </w:tc>
      </w:tr>
      <w:tr w:rsidR="00CF2859" w:rsidRPr="00AE18A7" w14:paraId="28EF7D3A" w14:textId="77777777">
        <w:tc>
          <w:tcPr>
            <w:tcW w:w="4536"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D38"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Attacks on medical personnel and facilities</w:t>
            </w:r>
          </w:p>
        </w:tc>
        <w:tc>
          <w:tcPr>
            <w:tcW w:w="4536"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D39"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GCI Art. 19, AP I Art. 12</w:t>
            </w:r>
          </w:p>
        </w:tc>
      </w:tr>
      <w:tr w:rsidR="00CF2859" w:rsidRPr="00AE18A7" w14:paraId="28EF7D3D" w14:textId="77777777">
        <w:tc>
          <w:tcPr>
            <w:tcW w:w="453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D3B"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Attacks on cultural property</w:t>
            </w:r>
          </w:p>
        </w:tc>
        <w:tc>
          <w:tcPr>
            <w:tcW w:w="453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D3C"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Hague Convention 1954, AP I Art. 53</w:t>
            </w:r>
          </w:p>
        </w:tc>
      </w:tr>
      <w:tr w:rsidR="00CF2859" w:rsidRPr="00AE18A7" w14:paraId="28EF7D40" w14:textId="77777777">
        <w:tc>
          <w:tcPr>
            <w:tcW w:w="4536"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D3E"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Attacks on objects indispensable to civilian survival</w:t>
            </w:r>
          </w:p>
        </w:tc>
        <w:tc>
          <w:tcPr>
            <w:tcW w:w="4536"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D3F"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AP I Art. 54</w:t>
            </w:r>
          </w:p>
        </w:tc>
      </w:tr>
      <w:tr w:rsidR="00CF2859" w:rsidRPr="00AE18A7" w14:paraId="28EF7D43" w14:textId="77777777">
        <w:tc>
          <w:tcPr>
            <w:tcW w:w="453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D41"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Attacks on works containing dangerous forces</w:t>
            </w:r>
          </w:p>
        </w:tc>
        <w:tc>
          <w:tcPr>
            <w:tcW w:w="453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D42" w14:textId="00AB8593" w:rsidR="00CF2859" w:rsidRPr="00AE18A7" w:rsidRDefault="00AE3F9E">
            <w:pPr>
              <w:spacing w:line="260" w:lineRule="auto"/>
              <w:rPr>
                <w:rFonts w:ascii="Calibri" w:hAnsi="Calibri" w:cs="Calibri"/>
              </w:rPr>
            </w:pPr>
            <w:r w:rsidRPr="00AE18A7">
              <w:rPr>
                <w:rFonts w:ascii="Calibri" w:hAnsi="Calibri" w:cs="Calibri"/>
                <w:color w:val="444444"/>
                <w:sz w:val="17"/>
                <w:szCs w:val="17"/>
              </w:rPr>
              <w:t xml:space="preserve">AP I Art. 56 </w:t>
            </w:r>
            <w:r w:rsidR="00F454C8" w:rsidRPr="00AE18A7">
              <w:rPr>
                <w:rFonts w:ascii="Calibri" w:hAnsi="Calibri" w:cs="Calibri"/>
                <w:color w:val="444444"/>
                <w:sz w:val="17"/>
                <w:szCs w:val="17"/>
                <w:lang w:val="en-GB"/>
              </w:rPr>
              <w:t>-</w:t>
            </w:r>
            <w:r w:rsidRPr="00AE18A7">
              <w:rPr>
                <w:rFonts w:ascii="Calibri" w:hAnsi="Calibri" w:cs="Calibri"/>
                <w:color w:val="444444"/>
                <w:sz w:val="17"/>
                <w:szCs w:val="17"/>
              </w:rPr>
              <w:t xml:space="preserve"> dams, nuclear installations</w:t>
            </w:r>
          </w:p>
        </w:tc>
      </w:tr>
      <w:tr w:rsidR="00CF2859" w:rsidRPr="00AE18A7" w14:paraId="28EF7D46" w14:textId="77777777">
        <w:tc>
          <w:tcPr>
            <w:tcW w:w="4536"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D44"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Indiscriminate attacks</w:t>
            </w:r>
          </w:p>
        </w:tc>
        <w:tc>
          <w:tcPr>
            <w:tcW w:w="4536"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D45"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AP I Art. 51(4)</w:t>
            </w:r>
          </w:p>
        </w:tc>
      </w:tr>
      <w:tr w:rsidR="00CF2859" w:rsidRPr="00AE18A7" w14:paraId="28EF7D49" w14:textId="77777777">
        <w:tc>
          <w:tcPr>
            <w:tcW w:w="453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D47"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Disproportionate attacks</w:t>
            </w:r>
          </w:p>
        </w:tc>
        <w:tc>
          <w:tcPr>
            <w:tcW w:w="453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D48" w14:textId="7F89DC53" w:rsidR="00CF2859" w:rsidRPr="00AE18A7" w:rsidRDefault="00AE3F9E">
            <w:pPr>
              <w:spacing w:line="260" w:lineRule="auto"/>
              <w:rPr>
                <w:rFonts w:ascii="Calibri" w:hAnsi="Calibri" w:cs="Calibri"/>
              </w:rPr>
            </w:pPr>
            <w:r w:rsidRPr="00AE18A7">
              <w:rPr>
                <w:rFonts w:ascii="Calibri" w:hAnsi="Calibri" w:cs="Calibri"/>
                <w:color w:val="444444"/>
                <w:sz w:val="17"/>
                <w:szCs w:val="17"/>
              </w:rPr>
              <w:t xml:space="preserve">AP I Art. 51(5)(b) </w:t>
            </w:r>
            <w:r w:rsidR="00F454C8" w:rsidRPr="00AE18A7">
              <w:rPr>
                <w:rFonts w:ascii="Calibri" w:hAnsi="Calibri" w:cs="Calibri"/>
                <w:color w:val="444444"/>
                <w:sz w:val="17"/>
                <w:szCs w:val="17"/>
                <w:lang w:val="en-GB"/>
              </w:rPr>
              <w:t>-</w:t>
            </w:r>
            <w:r w:rsidRPr="00AE18A7">
              <w:rPr>
                <w:rFonts w:ascii="Calibri" w:hAnsi="Calibri" w:cs="Calibri"/>
                <w:color w:val="444444"/>
                <w:sz w:val="17"/>
                <w:szCs w:val="17"/>
              </w:rPr>
              <w:t xml:space="preserve"> proportionality; detailed assessment at Layer 0 LCA</w:t>
            </w:r>
          </w:p>
        </w:tc>
      </w:tr>
      <w:tr w:rsidR="00CF2859" w:rsidRPr="00AE18A7" w14:paraId="28EF7D4C" w14:textId="77777777">
        <w:tc>
          <w:tcPr>
            <w:tcW w:w="4536"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D4A"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Attacks using prohibited weapons</w:t>
            </w:r>
          </w:p>
        </w:tc>
        <w:tc>
          <w:tcPr>
            <w:tcW w:w="4536"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D4B"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CCW, Ottawa, Oslo, Hague 1899</w:t>
            </w:r>
          </w:p>
        </w:tc>
      </w:tr>
      <w:tr w:rsidR="00CF2859" w:rsidRPr="00AE18A7" w14:paraId="28EF7D4F" w14:textId="77777777">
        <w:tc>
          <w:tcPr>
            <w:tcW w:w="453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D4D"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Perfidy</w:t>
            </w:r>
          </w:p>
        </w:tc>
        <w:tc>
          <w:tcPr>
            <w:tcW w:w="453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D4E"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AP I Art. 37</w:t>
            </w:r>
          </w:p>
        </w:tc>
      </w:tr>
    </w:tbl>
    <w:p w14:paraId="28EF7D50" w14:textId="77777777" w:rsidR="00CF2859" w:rsidRPr="00AE18A7" w:rsidRDefault="00CF2859">
      <w:pPr>
        <w:spacing w:before="40"/>
        <w:rPr>
          <w:rFonts w:ascii="Calibri" w:hAnsi="Calibri" w:cs="Calibri"/>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CF2859" w:rsidRPr="00AE18A7" w14:paraId="28EF7D52" w14:textId="77777777">
        <w:tc>
          <w:tcPr>
            <w:tcW w:w="0" w:type="auto"/>
            <w:tcBorders>
              <w:top w:val="single" w:sz="1" w:space="0" w:color="CC3333"/>
              <w:left w:val="single" w:sz="1" w:space="0" w:color="CC3333"/>
              <w:bottom w:val="single" w:sz="1" w:space="0" w:color="CC3333"/>
              <w:right w:val="single" w:sz="1" w:space="0" w:color="CC3333"/>
            </w:tcBorders>
            <w:shd w:val="clear" w:color="auto" w:fill="FEF2F2"/>
            <w:tcMar>
              <w:top w:w="100" w:type="dxa"/>
              <w:left w:w="160" w:type="dxa"/>
              <w:bottom w:w="100" w:type="dxa"/>
              <w:right w:w="160" w:type="dxa"/>
            </w:tcMar>
          </w:tcPr>
          <w:p w14:paraId="28EF7D51" w14:textId="77777777" w:rsidR="00CF2859" w:rsidRPr="00AE18A7" w:rsidRDefault="00AE3F9E">
            <w:pPr>
              <w:jc w:val="center"/>
              <w:rPr>
                <w:rFonts w:ascii="Calibri" w:hAnsi="Calibri" w:cs="Calibri"/>
              </w:rPr>
            </w:pPr>
            <w:r w:rsidRPr="00AE18A7">
              <w:rPr>
                <w:rFonts w:ascii="Calibri" w:hAnsi="Calibri" w:cs="Calibri"/>
              </w:rPr>
              <w:t>THE PROHIBITION LAYER CANNOT BE OVERRIDDEN BY ANY PERSON OF ANY RANK OR AUTHORITY, UNDER ANY OPERATIONAL CIRCUMSTANCES. IT IS NOT CONFIGURABLE. IT CANNOT BE SUSPENDED, BYPASSED, OR DEACTIVATED. IT MUST BE DETERMINISTIC, TAMPER-RESISTANT, AND CRYPTOGRAPHICALLY CONTROLLED.</w:t>
            </w:r>
          </w:p>
        </w:tc>
      </w:tr>
    </w:tbl>
    <w:p w14:paraId="28EF7D53" w14:textId="77777777" w:rsidR="00CF2859" w:rsidRPr="00AE18A7" w:rsidRDefault="00CF2859">
      <w:pPr>
        <w:spacing w:before="40"/>
        <w:rPr>
          <w:rFonts w:ascii="Calibri" w:hAnsi="Calibri" w:cs="Calibri"/>
        </w:rPr>
      </w:pPr>
    </w:p>
    <w:p w14:paraId="28EF7D54" w14:textId="3F28E526" w:rsidR="00CF2859" w:rsidRPr="00AE18A7" w:rsidRDefault="00AE3F9E">
      <w:pPr>
        <w:spacing w:before="80" w:line="276" w:lineRule="auto"/>
        <w:rPr>
          <w:rFonts w:ascii="Calibri" w:hAnsi="Calibri" w:cs="Calibri"/>
        </w:rPr>
      </w:pPr>
      <w:r w:rsidRPr="00AE18A7">
        <w:rPr>
          <w:rFonts w:ascii="Calibri" w:hAnsi="Calibri" w:cs="Calibri"/>
        </w:rPr>
        <w:t>Implementation requirement: the prohibition logic must be deterministic, independently verifiable, tamper-resistant, cryptographically signed, and fail-safe. It should be implemented using appropriate technical control mechanisms, such as hardware-backed policy enforcement, cryptographic signing, separation of duties, one-way control-path constraints, and independent verification. The ruleset should require joint control by the operating authority and an independent IHL verification function so that neither party alone can weaken the prohibition rules. The failure mode must be safe: enforcement malfunction produces a hard block on all recommendations, not a bypass. The prohibition layer must not itself be an AI system. It must contain no probabilistic or learning components.</w:t>
      </w:r>
    </w:p>
    <w:p w14:paraId="28EF7D55" w14:textId="77777777" w:rsidR="00CF2859" w:rsidRPr="00AE18A7" w:rsidRDefault="00CF2859">
      <w:pPr>
        <w:spacing w:before="80"/>
        <w:rPr>
          <w:rFonts w:ascii="Calibri" w:hAnsi="Calibri" w:cs="Calibri"/>
        </w:rPr>
      </w:pPr>
    </w:p>
    <w:p w14:paraId="28EF7D56" w14:textId="77777777" w:rsidR="00CF2859" w:rsidRPr="00AE18A7" w:rsidRDefault="00AE3F9E" w:rsidP="0071202F">
      <w:pPr>
        <w:pStyle w:val="Heading10"/>
      </w:pPr>
      <w:bookmarkStart w:id="12" w:name="_Toc229741677"/>
      <w:r w:rsidRPr="00AE18A7">
        <w:t>6. Layer 0: Intelligence Assessment Gate</w:t>
      </w:r>
      <w:bookmarkEnd w:id="12"/>
    </w:p>
    <w:p w14:paraId="28EF7D57" w14:textId="77777777" w:rsidR="00CF2859" w:rsidRPr="00AE18A7" w:rsidRDefault="00AE3F9E">
      <w:pPr>
        <w:spacing w:before="80" w:line="276" w:lineRule="auto"/>
        <w:rPr>
          <w:rFonts w:ascii="Calibri" w:hAnsi="Calibri" w:cs="Calibri"/>
        </w:rPr>
      </w:pPr>
      <w:r w:rsidRPr="00AE18A7">
        <w:rPr>
          <w:rFonts w:ascii="Calibri" w:hAnsi="Calibri" w:cs="Calibri"/>
        </w:rPr>
        <w:t>Layer 0 implements a four-component compound assessment gate. All four components must independently pass their defined thresholds. Passing three of four is insufficient. A consolidated reference of all hard block conditions and their required resolutions is provided in Appendix A.</w:t>
      </w:r>
    </w:p>
    <w:p w14:paraId="28EF7D58" w14:textId="77777777" w:rsidR="00CF2859" w:rsidRPr="00AE18A7" w:rsidRDefault="00CF2859">
      <w:pPr>
        <w:spacing w:before="60"/>
        <w:rPr>
          <w:rFonts w:ascii="Calibri" w:hAnsi="Calibri" w:cs="Calibri"/>
        </w:rPr>
      </w:pPr>
    </w:p>
    <w:p w14:paraId="28EF7D59" w14:textId="68926EEA" w:rsidR="00CF2859" w:rsidRPr="00AE18A7" w:rsidRDefault="00AE3F9E" w:rsidP="0071202F">
      <w:pPr>
        <w:pStyle w:val="Heading20"/>
      </w:pPr>
      <w:bookmarkStart w:id="13" w:name="_Toc229741678"/>
      <w:r w:rsidRPr="00AE18A7">
        <w:t>6.1 Assessment 1 - Target Identification Confidence (TIC)</w:t>
      </w:r>
      <w:bookmarkEnd w:id="13"/>
    </w:p>
    <w:p w14:paraId="28EF7D5A" w14:textId="77777777" w:rsidR="00CF2859" w:rsidRPr="00AE18A7" w:rsidRDefault="00AE3F9E">
      <w:pPr>
        <w:spacing w:before="80" w:line="276" w:lineRule="auto"/>
        <w:rPr>
          <w:rFonts w:ascii="Calibri" w:hAnsi="Calibri" w:cs="Calibri"/>
          <w:lang w:val="en-GB"/>
        </w:rPr>
      </w:pPr>
      <w:r w:rsidRPr="00AE18A7">
        <w:rPr>
          <w:rFonts w:ascii="Calibri" w:hAnsi="Calibri" w:cs="Calibri"/>
        </w:rPr>
        <w:t>Assessment 1 directly addresses GAP-02. Every recommendation must carry a TIC assessment with explicit evidence source classification, independence evaluation, and reliability scoring.</w:t>
      </w:r>
    </w:p>
    <w:p w14:paraId="62122466" w14:textId="77777777" w:rsidR="0071202F" w:rsidRPr="00AE18A7" w:rsidRDefault="0071202F">
      <w:pPr>
        <w:spacing w:before="80" w:line="276" w:lineRule="auto"/>
        <w:rPr>
          <w:rFonts w:ascii="Calibri" w:hAnsi="Calibri" w:cs="Calibri"/>
          <w:lang w:val="en-GB"/>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6"/>
        <w:gridCol w:w="4536"/>
      </w:tblGrid>
      <w:tr w:rsidR="00CF2859" w:rsidRPr="00AE18A7" w14:paraId="28EF7D5D" w14:textId="77777777">
        <w:trPr>
          <w:tblHeader/>
        </w:trPr>
        <w:tc>
          <w:tcPr>
            <w:tcW w:w="4536" w:type="dxa"/>
            <w:tcBorders>
              <w:top w:val="single" w:sz="1" w:space="0" w:color="1A1A1A"/>
              <w:left w:val="single" w:sz="1" w:space="0" w:color="1A1A1A"/>
              <w:bottom w:val="single" w:sz="1" w:space="0" w:color="1A1A1A"/>
              <w:right w:val="single" w:sz="1" w:space="0" w:color="1A1A1A"/>
            </w:tcBorders>
            <w:shd w:val="clear" w:color="auto" w:fill="1A1A1A"/>
            <w:tcMar>
              <w:top w:w="60" w:type="dxa"/>
              <w:left w:w="100" w:type="dxa"/>
              <w:bottom w:w="60" w:type="dxa"/>
              <w:right w:w="100" w:type="dxa"/>
            </w:tcMar>
          </w:tcPr>
          <w:p w14:paraId="28EF7D5B" w14:textId="77777777" w:rsidR="00CF2859" w:rsidRPr="00AE18A7" w:rsidRDefault="00AE3F9E">
            <w:pPr>
              <w:rPr>
                <w:rFonts w:ascii="Calibri" w:hAnsi="Calibri" w:cs="Calibri"/>
              </w:rPr>
            </w:pPr>
            <w:r w:rsidRPr="00AE18A7">
              <w:rPr>
                <w:rFonts w:ascii="Calibri" w:hAnsi="Calibri" w:cs="Calibri"/>
                <w:b/>
                <w:bCs/>
                <w:color w:val="FFFFFF"/>
                <w:sz w:val="17"/>
                <w:szCs w:val="17"/>
              </w:rPr>
              <w:t>TIC Component</w:t>
            </w:r>
          </w:p>
        </w:tc>
        <w:tc>
          <w:tcPr>
            <w:tcW w:w="4536" w:type="dxa"/>
            <w:tcBorders>
              <w:top w:val="single" w:sz="1" w:space="0" w:color="1A1A1A"/>
              <w:left w:val="single" w:sz="1" w:space="0" w:color="1A1A1A"/>
              <w:bottom w:val="single" w:sz="1" w:space="0" w:color="1A1A1A"/>
              <w:right w:val="single" w:sz="1" w:space="0" w:color="1A1A1A"/>
            </w:tcBorders>
            <w:shd w:val="clear" w:color="auto" w:fill="1A1A1A"/>
            <w:tcMar>
              <w:top w:w="60" w:type="dxa"/>
              <w:left w:w="100" w:type="dxa"/>
              <w:bottom w:w="60" w:type="dxa"/>
              <w:right w:w="100" w:type="dxa"/>
            </w:tcMar>
          </w:tcPr>
          <w:p w14:paraId="28EF7D5C" w14:textId="77777777" w:rsidR="00CF2859" w:rsidRPr="00AE18A7" w:rsidRDefault="00AE3F9E">
            <w:pPr>
              <w:rPr>
                <w:rFonts w:ascii="Calibri" w:hAnsi="Calibri" w:cs="Calibri"/>
              </w:rPr>
            </w:pPr>
            <w:r w:rsidRPr="00AE18A7">
              <w:rPr>
                <w:rFonts w:ascii="Calibri" w:hAnsi="Calibri" w:cs="Calibri"/>
                <w:b/>
                <w:bCs/>
                <w:color w:val="FFFFFF"/>
                <w:sz w:val="17"/>
                <w:szCs w:val="17"/>
              </w:rPr>
              <w:t>Hard Block Condition</w:t>
            </w:r>
          </w:p>
        </w:tc>
      </w:tr>
      <w:tr w:rsidR="00CF2859" w:rsidRPr="00AE18A7" w14:paraId="28EF7D60" w14:textId="77777777">
        <w:tc>
          <w:tcPr>
            <w:tcW w:w="4536"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D5E"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Primary source confirmation required</w:t>
            </w:r>
          </w:p>
        </w:tc>
        <w:tc>
          <w:tcPr>
            <w:tcW w:w="4536"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D5F"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No primary source → HARD BLOCK</w:t>
            </w:r>
          </w:p>
        </w:tc>
      </w:tr>
      <w:tr w:rsidR="00CF2859" w:rsidRPr="00AE18A7" w14:paraId="28EF7D63" w14:textId="77777777">
        <w:tc>
          <w:tcPr>
            <w:tcW w:w="453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D61"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Cross-cued confirmation from independent source of different intelligence type</w:t>
            </w:r>
          </w:p>
        </w:tc>
        <w:tc>
          <w:tcPr>
            <w:tcW w:w="453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D62"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No independent confirmation → HARD BLOCK for Tier L3</w:t>
            </w:r>
          </w:p>
        </w:tc>
      </w:tr>
      <w:tr w:rsidR="00CF2859" w:rsidRPr="00AE18A7" w14:paraId="28EF7D66" w14:textId="77777777">
        <w:tc>
          <w:tcPr>
            <w:tcW w:w="4536"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D64" w14:textId="61FB0439" w:rsidR="00CF2859" w:rsidRPr="00AE18A7" w:rsidRDefault="00AE3F9E">
            <w:pPr>
              <w:spacing w:line="260" w:lineRule="auto"/>
              <w:rPr>
                <w:rFonts w:ascii="Calibri" w:hAnsi="Calibri" w:cs="Calibri"/>
              </w:rPr>
            </w:pPr>
            <w:r w:rsidRPr="00AE18A7">
              <w:rPr>
                <w:rFonts w:ascii="Calibri" w:hAnsi="Calibri" w:cs="Calibri"/>
                <w:color w:val="444444"/>
                <w:sz w:val="17"/>
                <w:szCs w:val="17"/>
              </w:rPr>
              <w:t>Identity confidence score (0</w:t>
            </w:r>
            <w:r w:rsidR="0071202F" w:rsidRPr="00AE18A7">
              <w:rPr>
                <w:rFonts w:ascii="Calibri" w:hAnsi="Calibri" w:cs="Calibri"/>
                <w:color w:val="444444"/>
                <w:sz w:val="17"/>
                <w:szCs w:val="17"/>
                <w:lang w:val="en-GB"/>
              </w:rPr>
              <w:t>-</w:t>
            </w:r>
            <w:r w:rsidRPr="00AE18A7">
              <w:rPr>
                <w:rFonts w:ascii="Calibri" w:hAnsi="Calibri" w:cs="Calibri"/>
                <w:color w:val="444444"/>
                <w:sz w:val="17"/>
                <w:szCs w:val="17"/>
              </w:rPr>
              <w:t>100)</w:t>
            </w:r>
          </w:p>
        </w:tc>
        <w:tc>
          <w:tcPr>
            <w:tcW w:w="4536"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D65"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Score &lt; 80 → HARD BLOCK for Tier L3</w:t>
            </w:r>
          </w:p>
        </w:tc>
      </w:tr>
      <w:tr w:rsidR="00CF2859" w:rsidRPr="00AE18A7" w14:paraId="28EF7D69" w14:textId="77777777">
        <w:tc>
          <w:tcPr>
            <w:tcW w:w="453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D67"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Active spoofing indicator assessment</w:t>
            </w:r>
          </w:p>
        </w:tc>
        <w:tc>
          <w:tcPr>
            <w:tcW w:w="453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D68"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Active spoofing indicator detected → HARD BLOCK pending human assessment</w:t>
            </w:r>
          </w:p>
        </w:tc>
      </w:tr>
      <w:tr w:rsidR="00CF2859" w:rsidRPr="00AE18A7" w14:paraId="28EF7D6C" w14:textId="77777777">
        <w:tc>
          <w:tcPr>
            <w:tcW w:w="4536"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D6A"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Protected person proximity check</w:t>
            </w:r>
          </w:p>
        </w:tc>
        <w:tc>
          <w:tcPr>
            <w:tcW w:w="4536"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D6B"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Protected person within exclusion zone at confidence &gt; 60% → HARD BLOCK</w:t>
            </w:r>
          </w:p>
        </w:tc>
      </w:tr>
    </w:tbl>
    <w:p w14:paraId="28EF7D6D" w14:textId="77777777" w:rsidR="00CF2859" w:rsidRPr="00AE18A7" w:rsidRDefault="00CF2859">
      <w:pPr>
        <w:spacing w:before="60"/>
        <w:rPr>
          <w:rFonts w:ascii="Calibri" w:hAnsi="Calibri" w:cs="Calibri"/>
        </w:rPr>
      </w:pPr>
    </w:p>
    <w:p w14:paraId="28EF7D6E" w14:textId="2756E72F" w:rsidR="00CF2859" w:rsidRPr="00AE18A7" w:rsidRDefault="00AE3F9E" w:rsidP="0071202F">
      <w:pPr>
        <w:pStyle w:val="Heading20"/>
      </w:pPr>
      <w:bookmarkStart w:id="14" w:name="_Toc229741679"/>
      <w:r w:rsidRPr="00AE18A7">
        <w:t>6.2 Assessment 2 - Legal Compliance Assessment (LCA)</w:t>
      </w:r>
      <w:bookmarkEnd w:id="14"/>
    </w:p>
    <w:p w14:paraId="28EF7D6F" w14:textId="77777777" w:rsidR="00CF2859" w:rsidRPr="00AE18A7" w:rsidRDefault="00AE3F9E">
      <w:pPr>
        <w:spacing w:before="80" w:line="276" w:lineRule="auto"/>
        <w:rPr>
          <w:rFonts w:ascii="Calibri" w:hAnsi="Calibri" w:cs="Calibri"/>
        </w:rPr>
      </w:pPr>
      <w:r w:rsidRPr="00AE18A7">
        <w:rPr>
          <w:rFonts w:ascii="Calibri" w:hAnsi="Calibri" w:cs="Calibri"/>
        </w:rPr>
        <w:t>Assessment 2 is a legal assessment, not a confidence assessment. It evaluates military objective qualification (AP I Art. 52(2)), proportionality (AP I Art. 51(5)(b)), precautions in attack (AP I Art. 57), and rules of engagement compliance. For cases where proportionality is within a defined margin, or military objective qualification is based on use/purpose rather than nature, the assessment routes to mandatory human legal advisor review. For Tier L3, legal advisor confirmation is a hard block condition. The full illustrative LCA criteria with IHL article mapping are provided in Appendix B.</w:t>
      </w:r>
    </w:p>
    <w:p w14:paraId="28EF7D70" w14:textId="77777777" w:rsidR="00CF2859" w:rsidRPr="00AE18A7" w:rsidRDefault="00CF2859">
      <w:pPr>
        <w:spacing w:before="60"/>
        <w:rPr>
          <w:rFonts w:ascii="Calibri" w:hAnsi="Calibri" w:cs="Calibri"/>
        </w:rPr>
      </w:pPr>
    </w:p>
    <w:p w14:paraId="28EF7D71" w14:textId="484D6998" w:rsidR="00CF2859" w:rsidRPr="00AE18A7" w:rsidRDefault="00AE3F9E" w:rsidP="0071202F">
      <w:pPr>
        <w:pStyle w:val="Heading20"/>
      </w:pPr>
      <w:bookmarkStart w:id="15" w:name="_Toc229741680"/>
      <w:r w:rsidRPr="00AE18A7">
        <w:t>6.3 Assessments 3 and 4 - CDE and Situational Currency</w:t>
      </w:r>
      <w:bookmarkEnd w:id="15"/>
    </w:p>
    <w:p w14:paraId="28EF7D72" w14:textId="77777777" w:rsidR="00CF2859" w:rsidRPr="00AE18A7" w:rsidRDefault="00AE3F9E">
      <w:pPr>
        <w:spacing w:before="80" w:line="276" w:lineRule="auto"/>
        <w:rPr>
          <w:rFonts w:ascii="Calibri" w:hAnsi="Calibri" w:cs="Calibri"/>
        </w:rPr>
      </w:pPr>
      <w:r w:rsidRPr="00AE18A7">
        <w:rPr>
          <w:rFonts w:ascii="Calibri" w:hAnsi="Calibri" w:cs="Calibri"/>
        </w:rPr>
        <w:t>Assessment 3 (Collateral Damage Estimate) requires a probability distribution over casualty counts, not a point estimate. The 90th percentile of that distribution is compared to the proportionality threshold, not the median. A CDE confidence interval that extends to include protected persons at defined probability is a hard block for Tier L3.</w:t>
      </w:r>
    </w:p>
    <w:p w14:paraId="28EF7D73" w14:textId="77777777" w:rsidR="00CF2859" w:rsidRPr="00AE18A7" w:rsidRDefault="00AE3F9E">
      <w:pPr>
        <w:spacing w:before="80" w:line="276" w:lineRule="auto"/>
        <w:rPr>
          <w:rFonts w:ascii="Calibri" w:hAnsi="Calibri" w:cs="Calibri"/>
        </w:rPr>
      </w:pPr>
      <w:r w:rsidRPr="00AE18A7">
        <w:rPr>
          <w:rFonts w:ascii="Calibri" w:hAnsi="Calibri" w:cs="Calibri"/>
        </w:rPr>
        <w:t>Assessment 4 (Situational Currency Check) evaluates intelligence staleness against type-specific thresholds. Surrender indicators, including ambiguous signals, are treated as hard blocks pending human assessment of surrender status. The framework requires that any ambiguity defaults to treating the signal as a surrender indicator, not treating it as noise.</w:t>
      </w:r>
    </w:p>
    <w:p w14:paraId="28EF7D74" w14:textId="77777777" w:rsidR="00CF2859" w:rsidRPr="00AE18A7" w:rsidRDefault="00CF2859">
      <w:pPr>
        <w:spacing w:before="80"/>
        <w:rPr>
          <w:rFonts w:ascii="Calibri" w:hAnsi="Calibri" w:cs="Calibri"/>
        </w:rPr>
      </w:pPr>
    </w:p>
    <w:p w14:paraId="28EF7D75" w14:textId="6142DE4F" w:rsidR="00CF2859" w:rsidRPr="00AE18A7" w:rsidRDefault="00AE3F9E" w:rsidP="0071202F">
      <w:pPr>
        <w:pStyle w:val="Heading10"/>
      </w:pPr>
      <w:bookmarkStart w:id="16" w:name="_Toc229741681"/>
      <w:r w:rsidRPr="00AE18A7">
        <w:lastRenderedPageBreak/>
        <w:t>7. Layer 1: Confidence and Uncertainty</w:t>
      </w:r>
      <w:bookmarkEnd w:id="16"/>
    </w:p>
    <w:p w14:paraId="28EF7D76" w14:textId="77777777" w:rsidR="00CF2859" w:rsidRPr="00AE18A7" w:rsidRDefault="00AE3F9E">
      <w:pPr>
        <w:spacing w:before="80" w:line="276" w:lineRule="auto"/>
        <w:rPr>
          <w:rFonts w:ascii="Calibri" w:hAnsi="Calibri" w:cs="Calibri"/>
        </w:rPr>
      </w:pPr>
      <w:r w:rsidRPr="00AE18A7">
        <w:rPr>
          <w:rFonts w:ascii="Calibri" w:hAnsi="Calibri" w:cs="Calibri"/>
        </w:rPr>
        <w:t>Layer 1 addresses GAP-03 by specifying a numerical confidence model with defined thresholds and non-bypassable hard blocks. The values in this paper are proposed governance thresholds for review and validation, not empirically final calibration values. Any operational implementation would require independent calibration, adversarial testing, and approval by qualified legal and technical authorities before use.</w:t>
      </w:r>
    </w:p>
    <w:p w14:paraId="28EF7D77" w14:textId="77777777" w:rsidR="00CF2859" w:rsidRPr="00AE18A7" w:rsidRDefault="00CF2859">
      <w:pPr>
        <w:spacing w:before="40"/>
        <w:rPr>
          <w:rFonts w:ascii="Calibri" w:hAnsi="Calibri" w:cs="Calibri"/>
        </w:rPr>
      </w:pPr>
    </w:p>
    <w:tbl>
      <w:tblPr>
        <w:tblW w:w="9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000"/>
        <w:gridCol w:w="3832"/>
      </w:tblGrid>
      <w:tr w:rsidR="00CF2859" w:rsidRPr="00AE18A7" w14:paraId="28EF7D7B" w14:textId="77777777">
        <w:trPr>
          <w:tblHeader/>
        </w:trPr>
        <w:tc>
          <w:tcPr>
            <w:tcW w:w="4200" w:type="dxa"/>
            <w:tcBorders>
              <w:top w:val="single" w:sz="1" w:space="0" w:color="1A1A1A"/>
              <w:left w:val="single" w:sz="1" w:space="0" w:color="1A1A1A"/>
              <w:bottom w:val="single" w:sz="1" w:space="0" w:color="1A1A1A"/>
              <w:right w:val="single" w:sz="1" w:space="0" w:color="1A1A1A"/>
            </w:tcBorders>
            <w:shd w:val="clear" w:color="auto" w:fill="1A1A1A"/>
            <w:tcMar>
              <w:top w:w="60" w:type="dxa"/>
              <w:left w:w="100" w:type="dxa"/>
              <w:bottom w:w="60" w:type="dxa"/>
              <w:right w:w="100" w:type="dxa"/>
            </w:tcMar>
          </w:tcPr>
          <w:p w14:paraId="28EF7D78" w14:textId="77777777" w:rsidR="00CF2859" w:rsidRPr="00AE18A7" w:rsidRDefault="00AE3F9E">
            <w:pPr>
              <w:rPr>
                <w:rFonts w:ascii="Calibri" w:hAnsi="Calibri" w:cs="Calibri"/>
              </w:rPr>
            </w:pPr>
            <w:r w:rsidRPr="00AE18A7">
              <w:rPr>
                <w:rFonts w:ascii="Calibri" w:hAnsi="Calibri" w:cs="Calibri"/>
                <w:b/>
                <w:bCs/>
                <w:color w:val="FFFFFF"/>
                <w:sz w:val="17"/>
                <w:szCs w:val="17"/>
              </w:rPr>
              <w:t>Evidence Class</w:t>
            </w:r>
          </w:p>
        </w:tc>
        <w:tc>
          <w:tcPr>
            <w:tcW w:w="1000" w:type="dxa"/>
            <w:tcBorders>
              <w:top w:val="single" w:sz="1" w:space="0" w:color="1A1A1A"/>
              <w:left w:val="single" w:sz="1" w:space="0" w:color="1A1A1A"/>
              <w:bottom w:val="single" w:sz="1" w:space="0" w:color="1A1A1A"/>
              <w:right w:val="single" w:sz="1" w:space="0" w:color="1A1A1A"/>
            </w:tcBorders>
            <w:shd w:val="clear" w:color="auto" w:fill="1A1A1A"/>
            <w:tcMar>
              <w:top w:w="60" w:type="dxa"/>
              <w:left w:w="100" w:type="dxa"/>
              <w:bottom w:w="60" w:type="dxa"/>
              <w:right w:w="100" w:type="dxa"/>
            </w:tcMar>
          </w:tcPr>
          <w:p w14:paraId="28EF7D79" w14:textId="77777777" w:rsidR="00CF2859" w:rsidRPr="00AE18A7" w:rsidRDefault="00AE3F9E">
            <w:pPr>
              <w:rPr>
                <w:rFonts w:ascii="Calibri" w:hAnsi="Calibri" w:cs="Calibri"/>
              </w:rPr>
            </w:pPr>
            <w:r w:rsidRPr="00AE18A7">
              <w:rPr>
                <w:rFonts w:ascii="Calibri" w:hAnsi="Calibri" w:cs="Calibri"/>
                <w:b/>
                <w:bCs/>
                <w:color w:val="FFFFFF"/>
                <w:sz w:val="17"/>
                <w:szCs w:val="17"/>
              </w:rPr>
              <w:t>Score</w:t>
            </w:r>
          </w:p>
        </w:tc>
        <w:tc>
          <w:tcPr>
            <w:tcW w:w="3832" w:type="dxa"/>
            <w:tcBorders>
              <w:top w:val="single" w:sz="1" w:space="0" w:color="1A1A1A"/>
              <w:left w:val="single" w:sz="1" w:space="0" w:color="1A1A1A"/>
              <w:bottom w:val="single" w:sz="1" w:space="0" w:color="1A1A1A"/>
              <w:right w:val="single" w:sz="1" w:space="0" w:color="1A1A1A"/>
            </w:tcBorders>
            <w:shd w:val="clear" w:color="auto" w:fill="1A1A1A"/>
            <w:tcMar>
              <w:top w:w="60" w:type="dxa"/>
              <w:left w:w="100" w:type="dxa"/>
              <w:bottom w:w="60" w:type="dxa"/>
              <w:right w:w="100" w:type="dxa"/>
            </w:tcMar>
          </w:tcPr>
          <w:p w14:paraId="28EF7D7A" w14:textId="77777777" w:rsidR="00CF2859" w:rsidRPr="00AE18A7" w:rsidRDefault="00AE3F9E">
            <w:pPr>
              <w:rPr>
                <w:rFonts w:ascii="Calibri" w:hAnsi="Calibri" w:cs="Calibri"/>
              </w:rPr>
            </w:pPr>
            <w:r w:rsidRPr="00AE18A7">
              <w:rPr>
                <w:rFonts w:ascii="Calibri" w:hAnsi="Calibri" w:cs="Calibri"/>
                <w:b/>
                <w:bCs/>
                <w:color w:val="FFFFFF"/>
                <w:sz w:val="17"/>
                <w:szCs w:val="17"/>
              </w:rPr>
              <w:t>Notes</w:t>
            </w:r>
          </w:p>
        </w:tc>
      </w:tr>
      <w:tr w:rsidR="00CF2859" w:rsidRPr="00AE18A7" w14:paraId="28EF7D7F" w14:textId="77777777">
        <w:tc>
          <w:tcPr>
            <w:tcW w:w="42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D7C" w14:textId="50A0E5C6" w:rsidR="00CF2859" w:rsidRPr="00072E13" w:rsidRDefault="00AE3F9E">
            <w:pPr>
              <w:spacing w:line="260" w:lineRule="auto"/>
              <w:rPr>
                <w:rFonts w:ascii="Calibri" w:hAnsi="Calibri" w:cs="Calibri"/>
                <w:sz w:val="17"/>
                <w:szCs w:val="17"/>
              </w:rPr>
            </w:pPr>
            <w:r w:rsidRPr="00072E13">
              <w:rPr>
                <w:rFonts w:ascii="Calibri" w:hAnsi="Calibri" w:cs="Calibri"/>
                <w:color w:val="444444"/>
                <w:sz w:val="17"/>
                <w:szCs w:val="17"/>
              </w:rPr>
              <w:t xml:space="preserve">Confirmed </w:t>
            </w:r>
            <w:r w:rsidR="0071202F" w:rsidRPr="00072E13">
              <w:rPr>
                <w:rFonts w:ascii="Calibri" w:hAnsi="Calibri" w:cs="Calibri"/>
                <w:color w:val="444444"/>
                <w:sz w:val="17"/>
                <w:szCs w:val="17"/>
                <w:lang w:val="en-GB"/>
              </w:rPr>
              <w:t>-</w:t>
            </w:r>
            <w:r w:rsidRPr="00072E13">
              <w:rPr>
                <w:rFonts w:ascii="Calibri" w:hAnsi="Calibri" w:cs="Calibri"/>
                <w:color w:val="444444"/>
                <w:sz w:val="17"/>
                <w:szCs w:val="17"/>
              </w:rPr>
              <w:t xml:space="preserve"> Multi-source (3+ independent types)</w:t>
            </w:r>
          </w:p>
        </w:tc>
        <w:tc>
          <w:tcPr>
            <w:tcW w:w="10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D7D" w14:textId="77777777" w:rsidR="00CF2859" w:rsidRPr="00072E13" w:rsidRDefault="00AE3F9E">
            <w:pPr>
              <w:spacing w:line="260" w:lineRule="auto"/>
              <w:rPr>
                <w:rFonts w:ascii="Calibri" w:hAnsi="Calibri" w:cs="Calibri"/>
                <w:sz w:val="17"/>
                <w:szCs w:val="17"/>
              </w:rPr>
            </w:pPr>
            <w:r w:rsidRPr="00072E13">
              <w:rPr>
                <w:rFonts w:ascii="Calibri" w:hAnsi="Calibri" w:cs="Calibri"/>
                <w:color w:val="444444"/>
                <w:sz w:val="17"/>
                <w:szCs w:val="17"/>
              </w:rPr>
              <w:t>100</w:t>
            </w:r>
          </w:p>
        </w:tc>
        <w:tc>
          <w:tcPr>
            <w:tcW w:w="3832"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D7E" w14:textId="77777777" w:rsidR="00CF2859" w:rsidRPr="00072E13" w:rsidRDefault="00AE3F9E">
            <w:pPr>
              <w:spacing w:line="260" w:lineRule="auto"/>
              <w:rPr>
                <w:rFonts w:ascii="Calibri" w:hAnsi="Calibri" w:cs="Calibri"/>
                <w:sz w:val="17"/>
                <w:szCs w:val="17"/>
              </w:rPr>
            </w:pPr>
            <w:r w:rsidRPr="00072E13">
              <w:rPr>
                <w:rFonts w:ascii="Calibri" w:hAnsi="Calibri" w:cs="Calibri"/>
                <w:color w:val="444444"/>
                <w:sz w:val="17"/>
                <w:szCs w:val="17"/>
              </w:rPr>
              <w:t>Rarely achieved operationally</w:t>
            </w:r>
          </w:p>
        </w:tc>
      </w:tr>
      <w:tr w:rsidR="00CF2859" w:rsidRPr="00AE18A7" w14:paraId="28EF7D83" w14:textId="77777777">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D80" w14:textId="3B637961" w:rsidR="00CF2859" w:rsidRPr="00072E13" w:rsidRDefault="00AE3F9E">
            <w:pPr>
              <w:spacing w:line="260" w:lineRule="auto"/>
              <w:rPr>
                <w:rFonts w:ascii="Calibri" w:hAnsi="Calibri" w:cs="Calibri"/>
                <w:sz w:val="17"/>
                <w:szCs w:val="17"/>
              </w:rPr>
            </w:pPr>
            <w:r w:rsidRPr="00072E13">
              <w:rPr>
                <w:rFonts w:ascii="Calibri" w:hAnsi="Calibri" w:cs="Calibri"/>
                <w:color w:val="444444"/>
                <w:sz w:val="17"/>
                <w:szCs w:val="17"/>
              </w:rPr>
              <w:t xml:space="preserve">Confirmed </w:t>
            </w:r>
            <w:r w:rsidR="0071202F" w:rsidRPr="00072E13">
              <w:rPr>
                <w:rFonts w:ascii="Calibri" w:hAnsi="Calibri" w:cs="Calibri"/>
                <w:color w:val="444444"/>
                <w:sz w:val="17"/>
                <w:szCs w:val="17"/>
                <w:lang w:val="en-GB"/>
              </w:rPr>
              <w:t>-</w:t>
            </w:r>
            <w:r w:rsidRPr="00072E13">
              <w:rPr>
                <w:rFonts w:ascii="Calibri" w:hAnsi="Calibri" w:cs="Calibri"/>
                <w:color w:val="444444"/>
                <w:sz w:val="17"/>
                <w:szCs w:val="17"/>
              </w:rPr>
              <w:t xml:space="preserve"> Dual-source (2 independent, different types)</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D81" w14:textId="77777777" w:rsidR="00CF2859" w:rsidRPr="00072E13" w:rsidRDefault="00AE3F9E">
            <w:pPr>
              <w:spacing w:line="260" w:lineRule="auto"/>
              <w:rPr>
                <w:rFonts w:ascii="Calibri" w:hAnsi="Calibri" w:cs="Calibri"/>
                <w:sz w:val="17"/>
                <w:szCs w:val="17"/>
              </w:rPr>
            </w:pPr>
            <w:r w:rsidRPr="00072E13">
              <w:rPr>
                <w:rFonts w:ascii="Calibri" w:hAnsi="Calibri" w:cs="Calibri"/>
                <w:color w:val="444444"/>
                <w:sz w:val="17"/>
                <w:szCs w:val="17"/>
              </w:rPr>
              <w:t>85</w:t>
            </w:r>
          </w:p>
        </w:tc>
        <w:tc>
          <w:tcPr>
            <w:tcW w:w="383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D82" w14:textId="77777777" w:rsidR="00CF2859" w:rsidRPr="00072E13" w:rsidRDefault="00AE3F9E">
            <w:pPr>
              <w:spacing w:line="260" w:lineRule="auto"/>
              <w:rPr>
                <w:rFonts w:ascii="Calibri" w:hAnsi="Calibri" w:cs="Calibri"/>
                <w:sz w:val="17"/>
                <w:szCs w:val="17"/>
              </w:rPr>
            </w:pPr>
            <w:r w:rsidRPr="00072E13">
              <w:rPr>
                <w:rFonts w:ascii="Calibri" w:hAnsi="Calibri" w:cs="Calibri"/>
                <w:color w:val="444444"/>
                <w:sz w:val="17"/>
                <w:szCs w:val="17"/>
              </w:rPr>
              <w:t>Standard minimum for Tier L3</w:t>
            </w:r>
          </w:p>
        </w:tc>
      </w:tr>
      <w:tr w:rsidR="00CF2859" w:rsidRPr="00AE18A7" w14:paraId="28EF7D87" w14:textId="77777777">
        <w:tc>
          <w:tcPr>
            <w:tcW w:w="42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D84" w14:textId="59D6AEF5" w:rsidR="00CF2859" w:rsidRPr="00072E13" w:rsidRDefault="00AE3F9E">
            <w:pPr>
              <w:spacing w:line="260" w:lineRule="auto"/>
              <w:rPr>
                <w:rFonts w:ascii="Calibri" w:hAnsi="Calibri" w:cs="Calibri"/>
                <w:sz w:val="17"/>
                <w:szCs w:val="17"/>
              </w:rPr>
            </w:pPr>
            <w:r w:rsidRPr="00072E13">
              <w:rPr>
                <w:rFonts w:ascii="Calibri" w:hAnsi="Calibri" w:cs="Calibri"/>
                <w:color w:val="444444"/>
                <w:sz w:val="17"/>
                <w:szCs w:val="17"/>
              </w:rPr>
              <w:t xml:space="preserve">Single source </w:t>
            </w:r>
            <w:r w:rsidR="0071202F" w:rsidRPr="00072E13">
              <w:rPr>
                <w:rFonts w:ascii="Calibri" w:hAnsi="Calibri" w:cs="Calibri"/>
                <w:color w:val="444444"/>
                <w:sz w:val="17"/>
                <w:szCs w:val="17"/>
                <w:lang w:val="en-GB"/>
              </w:rPr>
              <w:t>-</w:t>
            </w:r>
            <w:r w:rsidRPr="00072E13">
              <w:rPr>
                <w:rFonts w:ascii="Calibri" w:hAnsi="Calibri" w:cs="Calibri"/>
                <w:color w:val="444444"/>
                <w:sz w:val="17"/>
                <w:szCs w:val="17"/>
              </w:rPr>
              <w:t xml:space="preserve"> High reliability, documented</w:t>
            </w:r>
          </w:p>
        </w:tc>
        <w:tc>
          <w:tcPr>
            <w:tcW w:w="10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D85" w14:textId="77777777" w:rsidR="00CF2859" w:rsidRPr="00072E13" w:rsidRDefault="00AE3F9E">
            <w:pPr>
              <w:spacing w:line="260" w:lineRule="auto"/>
              <w:rPr>
                <w:rFonts w:ascii="Calibri" w:hAnsi="Calibri" w:cs="Calibri"/>
                <w:sz w:val="17"/>
                <w:szCs w:val="17"/>
              </w:rPr>
            </w:pPr>
            <w:r w:rsidRPr="00072E13">
              <w:rPr>
                <w:rFonts w:ascii="Calibri" w:hAnsi="Calibri" w:cs="Calibri"/>
                <w:color w:val="444444"/>
                <w:sz w:val="17"/>
                <w:szCs w:val="17"/>
              </w:rPr>
              <w:t>65</w:t>
            </w:r>
          </w:p>
        </w:tc>
        <w:tc>
          <w:tcPr>
            <w:tcW w:w="3832"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D86" w14:textId="77777777" w:rsidR="00CF2859" w:rsidRPr="00072E13" w:rsidRDefault="00AE3F9E">
            <w:pPr>
              <w:spacing w:line="260" w:lineRule="auto"/>
              <w:rPr>
                <w:rFonts w:ascii="Calibri" w:hAnsi="Calibri" w:cs="Calibri"/>
                <w:sz w:val="17"/>
                <w:szCs w:val="17"/>
              </w:rPr>
            </w:pPr>
            <w:r w:rsidRPr="00072E13">
              <w:rPr>
                <w:rFonts w:ascii="Calibri" w:hAnsi="Calibri" w:cs="Calibri"/>
                <w:color w:val="444444"/>
                <w:sz w:val="17"/>
                <w:szCs w:val="17"/>
              </w:rPr>
              <w:t>Insufficient alone for Tier L3</w:t>
            </w:r>
          </w:p>
        </w:tc>
      </w:tr>
      <w:tr w:rsidR="00CF2859" w:rsidRPr="00AE18A7" w14:paraId="28EF7D8B" w14:textId="77777777">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D88" w14:textId="34DA7861" w:rsidR="00CF2859" w:rsidRPr="00072E13" w:rsidRDefault="00AE3F9E">
            <w:pPr>
              <w:spacing w:line="260" w:lineRule="auto"/>
              <w:rPr>
                <w:rFonts w:ascii="Calibri" w:hAnsi="Calibri" w:cs="Calibri"/>
                <w:sz w:val="17"/>
                <w:szCs w:val="17"/>
              </w:rPr>
            </w:pPr>
            <w:r w:rsidRPr="00072E13">
              <w:rPr>
                <w:rFonts w:ascii="Calibri" w:hAnsi="Calibri" w:cs="Calibri"/>
                <w:color w:val="444444"/>
                <w:sz w:val="17"/>
                <w:szCs w:val="17"/>
              </w:rPr>
              <w:t xml:space="preserve">Single source </w:t>
            </w:r>
            <w:r w:rsidR="0071202F" w:rsidRPr="00072E13">
              <w:rPr>
                <w:rFonts w:ascii="Calibri" w:hAnsi="Calibri" w:cs="Calibri"/>
                <w:color w:val="444444"/>
                <w:sz w:val="17"/>
                <w:szCs w:val="17"/>
                <w:lang w:val="en-GB"/>
              </w:rPr>
              <w:t>-</w:t>
            </w:r>
            <w:r w:rsidRPr="00072E13">
              <w:rPr>
                <w:rFonts w:ascii="Calibri" w:hAnsi="Calibri" w:cs="Calibri"/>
                <w:color w:val="444444"/>
                <w:sz w:val="17"/>
                <w:szCs w:val="17"/>
              </w:rPr>
              <w:t xml:space="preserve"> Unknown or concerning reliability</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D89" w14:textId="77777777" w:rsidR="00CF2859" w:rsidRPr="00072E13" w:rsidRDefault="00AE3F9E">
            <w:pPr>
              <w:spacing w:line="260" w:lineRule="auto"/>
              <w:rPr>
                <w:rFonts w:ascii="Calibri" w:hAnsi="Calibri" w:cs="Calibri"/>
                <w:sz w:val="17"/>
                <w:szCs w:val="17"/>
              </w:rPr>
            </w:pPr>
            <w:r w:rsidRPr="00072E13">
              <w:rPr>
                <w:rFonts w:ascii="Calibri" w:hAnsi="Calibri" w:cs="Calibri"/>
                <w:color w:val="444444"/>
                <w:sz w:val="17"/>
                <w:szCs w:val="17"/>
              </w:rPr>
              <w:t>40</w:t>
            </w:r>
          </w:p>
        </w:tc>
        <w:tc>
          <w:tcPr>
            <w:tcW w:w="383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D8A" w14:textId="77777777" w:rsidR="00CF2859" w:rsidRPr="00072E13" w:rsidRDefault="00AE3F9E">
            <w:pPr>
              <w:spacing w:line="260" w:lineRule="auto"/>
              <w:rPr>
                <w:rFonts w:ascii="Calibri" w:hAnsi="Calibri" w:cs="Calibri"/>
                <w:sz w:val="17"/>
                <w:szCs w:val="17"/>
              </w:rPr>
            </w:pPr>
            <w:r w:rsidRPr="00072E13">
              <w:rPr>
                <w:rFonts w:ascii="Calibri" w:hAnsi="Calibri" w:cs="Calibri"/>
                <w:color w:val="444444"/>
                <w:sz w:val="17"/>
                <w:szCs w:val="17"/>
              </w:rPr>
              <w:t>HARD BLOCK for Tier L3</w:t>
            </w:r>
          </w:p>
        </w:tc>
      </w:tr>
      <w:tr w:rsidR="00CF2859" w:rsidRPr="00AE18A7" w14:paraId="28EF7D8F" w14:textId="77777777">
        <w:tc>
          <w:tcPr>
            <w:tcW w:w="42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D8C" w14:textId="77777777" w:rsidR="00CF2859" w:rsidRPr="00072E13" w:rsidRDefault="00AE3F9E">
            <w:pPr>
              <w:spacing w:line="260" w:lineRule="auto"/>
              <w:rPr>
                <w:rFonts w:ascii="Calibri" w:hAnsi="Calibri" w:cs="Calibri"/>
                <w:sz w:val="17"/>
                <w:szCs w:val="17"/>
              </w:rPr>
            </w:pPr>
            <w:r w:rsidRPr="00072E13">
              <w:rPr>
                <w:rFonts w:ascii="Calibri" w:hAnsi="Calibri" w:cs="Calibri"/>
                <w:color w:val="444444"/>
                <w:sz w:val="17"/>
                <w:szCs w:val="17"/>
              </w:rPr>
              <w:t>Pattern-of-life inference (AI behavioural analysis)</w:t>
            </w:r>
          </w:p>
        </w:tc>
        <w:tc>
          <w:tcPr>
            <w:tcW w:w="10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D8D" w14:textId="77777777" w:rsidR="00CF2859" w:rsidRPr="00072E13" w:rsidRDefault="00AE3F9E">
            <w:pPr>
              <w:spacing w:line="260" w:lineRule="auto"/>
              <w:rPr>
                <w:rFonts w:ascii="Calibri" w:hAnsi="Calibri" w:cs="Calibri"/>
                <w:sz w:val="17"/>
                <w:szCs w:val="17"/>
              </w:rPr>
            </w:pPr>
            <w:r w:rsidRPr="00072E13">
              <w:rPr>
                <w:rFonts w:ascii="Calibri" w:hAnsi="Calibri" w:cs="Calibri"/>
                <w:color w:val="444444"/>
                <w:sz w:val="17"/>
                <w:szCs w:val="17"/>
              </w:rPr>
              <w:t>25</w:t>
            </w:r>
          </w:p>
        </w:tc>
        <w:tc>
          <w:tcPr>
            <w:tcW w:w="3832"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D8E" w14:textId="77777777" w:rsidR="00CF2859" w:rsidRPr="00072E13" w:rsidRDefault="00AE3F9E">
            <w:pPr>
              <w:spacing w:line="260" w:lineRule="auto"/>
              <w:rPr>
                <w:rFonts w:ascii="Calibri" w:hAnsi="Calibri" w:cs="Calibri"/>
                <w:sz w:val="17"/>
                <w:szCs w:val="17"/>
              </w:rPr>
            </w:pPr>
            <w:r w:rsidRPr="00072E13">
              <w:rPr>
                <w:rFonts w:ascii="Calibri" w:hAnsi="Calibri" w:cs="Calibri"/>
                <w:color w:val="444444"/>
                <w:sz w:val="17"/>
                <w:szCs w:val="17"/>
              </w:rPr>
              <w:t>Cannot be primary identification basis</w:t>
            </w:r>
          </w:p>
        </w:tc>
      </w:tr>
      <w:tr w:rsidR="00CF2859" w:rsidRPr="00AE18A7" w14:paraId="28EF7D93" w14:textId="77777777">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D90" w14:textId="77777777" w:rsidR="00CF2859" w:rsidRPr="00072E13" w:rsidRDefault="00AE3F9E">
            <w:pPr>
              <w:spacing w:line="260" w:lineRule="auto"/>
              <w:rPr>
                <w:rFonts w:ascii="Calibri" w:hAnsi="Calibri" w:cs="Calibri"/>
                <w:sz w:val="17"/>
                <w:szCs w:val="17"/>
              </w:rPr>
            </w:pPr>
            <w:r w:rsidRPr="00072E13">
              <w:rPr>
                <w:rFonts w:ascii="Calibri" w:hAnsi="Calibri" w:cs="Calibri"/>
                <w:color w:val="444444"/>
                <w:sz w:val="17"/>
                <w:szCs w:val="17"/>
              </w:rPr>
              <w:t>Algorithm-only identification (no human intelligence source)</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D91" w14:textId="77777777" w:rsidR="00CF2859" w:rsidRPr="00072E13" w:rsidRDefault="00AE3F9E">
            <w:pPr>
              <w:spacing w:line="260" w:lineRule="auto"/>
              <w:rPr>
                <w:rFonts w:ascii="Calibri" w:hAnsi="Calibri" w:cs="Calibri"/>
                <w:sz w:val="17"/>
                <w:szCs w:val="17"/>
              </w:rPr>
            </w:pPr>
            <w:r w:rsidRPr="00072E13">
              <w:rPr>
                <w:rFonts w:ascii="Calibri" w:hAnsi="Calibri" w:cs="Calibri"/>
                <w:color w:val="444444"/>
                <w:sz w:val="17"/>
                <w:szCs w:val="17"/>
              </w:rPr>
              <w:t>10</w:t>
            </w:r>
          </w:p>
        </w:tc>
        <w:tc>
          <w:tcPr>
            <w:tcW w:w="383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D92" w14:textId="77777777" w:rsidR="00CF2859" w:rsidRPr="00072E13" w:rsidRDefault="00AE3F9E">
            <w:pPr>
              <w:spacing w:line="260" w:lineRule="auto"/>
              <w:rPr>
                <w:rFonts w:ascii="Calibri" w:hAnsi="Calibri" w:cs="Calibri"/>
                <w:sz w:val="17"/>
                <w:szCs w:val="17"/>
              </w:rPr>
            </w:pPr>
            <w:r w:rsidRPr="00072E13">
              <w:rPr>
                <w:rFonts w:ascii="Calibri" w:hAnsi="Calibri" w:cs="Calibri"/>
                <w:sz w:val="17"/>
                <w:szCs w:val="17"/>
              </w:rPr>
              <w:t>CATEGORICALLY PROHIBITED, HARD BLOCK all tiers</w:t>
            </w:r>
          </w:p>
        </w:tc>
      </w:tr>
    </w:tbl>
    <w:p w14:paraId="28EF7D94" w14:textId="77777777" w:rsidR="00CF2859" w:rsidRPr="00AE18A7" w:rsidRDefault="00CF2859">
      <w:pPr>
        <w:spacing w:before="40"/>
        <w:rPr>
          <w:rFonts w:ascii="Calibri" w:hAnsi="Calibri" w:cs="Calibri"/>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CF2859" w:rsidRPr="00AE18A7" w14:paraId="28EF7D96" w14:textId="77777777">
        <w:tc>
          <w:tcPr>
            <w:tcW w:w="0" w:type="auto"/>
            <w:tcBorders>
              <w:top w:val="single" w:sz="1" w:space="0" w:color="CC3333"/>
              <w:left w:val="single" w:sz="1" w:space="0" w:color="CC3333"/>
              <w:bottom w:val="single" w:sz="1" w:space="0" w:color="CC3333"/>
              <w:right w:val="single" w:sz="1" w:space="0" w:color="CC3333"/>
            </w:tcBorders>
            <w:shd w:val="clear" w:color="auto" w:fill="FEF2F2"/>
            <w:tcMar>
              <w:top w:w="100" w:type="dxa"/>
              <w:left w:w="160" w:type="dxa"/>
              <w:bottom w:w="100" w:type="dxa"/>
              <w:right w:w="160" w:type="dxa"/>
            </w:tcMar>
          </w:tcPr>
          <w:p w14:paraId="28EF7D95" w14:textId="6968FBA7" w:rsidR="00CF2859" w:rsidRPr="00AE18A7" w:rsidRDefault="00AE3F9E">
            <w:pPr>
              <w:jc w:val="center"/>
              <w:rPr>
                <w:rFonts w:ascii="Calibri" w:hAnsi="Calibri" w:cs="Calibri"/>
              </w:rPr>
            </w:pPr>
            <w:r w:rsidRPr="00AE18A7">
              <w:rPr>
                <w:rFonts w:ascii="Calibri" w:hAnsi="Calibri" w:cs="Calibri"/>
                <w:b/>
                <w:bCs/>
                <w:color w:val="CC3333"/>
                <w:sz w:val="18"/>
                <w:szCs w:val="18"/>
              </w:rPr>
              <w:t>ALGORITHM-ONLY IDENTIFICATION WHERE AN AI SYSTEM IDENTIFIES A TARGET WITHOUT ANY HUMAN INTELLIGENCE SOURCE INVOLVEMENT IS CATEGORICALLY INSUFFICIENT FOR LETHAL ACTION UNDER THIS FRAMEWORK. NO CONFIDENCE SCORE, AUTHORISATION LEVEL, OR OPERATIONAL CIRCUMSTANCE CHANGES THIS REQUIREMENT.</w:t>
            </w:r>
          </w:p>
        </w:tc>
      </w:tr>
    </w:tbl>
    <w:p w14:paraId="28EF7D97" w14:textId="77777777" w:rsidR="00CF2859" w:rsidRPr="00AE18A7" w:rsidRDefault="00CF2859">
      <w:pPr>
        <w:spacing w:before="40"/>
        <w:rPr>
          <w:rFonts w:ascii="Calibri" w:hAnsi="Calibri" w:cs="Calibri"/>
        </w:rPr>
      </w:pPr>
    </w:p>
    <w:tbl>
      <w:tblPr>
        <w:tblW w:w="9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400"/>
        <w:gridCol w:w="6032"/>
      </w:tblGrid>
      <w:tr w:rsidR="00CF2859" w:rsidRPr="00AE18A7" w14:paraId="28EF7D9B" w14:textId="77777777">
        <w:trPr>
          <w:tblHeader/>
        </w:trPr>
        <w:tc>
          <w:tcPr>
            <w:tcW w:w="1600" w:type="dxa"/>
            <w:tcBorders>
              <w:top w:val="single" w:sz="1" w:space="0" w:color="1A1A1A"/>
              <w:left w:val="single" w:sz="1" w:space="0" w:color="1A1A1A"/>
              <w:bottom w:val="single" w:sz="1" w:space="0" w:color="1A1A1A"/>
              <w:right w:val="single" w:sz="1" w:space="0" w:color="1A1A1A"/>
            </w:tcBorders>
            <w:shd w:val="clear" w:color="auto" w:fill="1A1A1A"/>
            <w:tcMar>
              <w:top w:w="60" w:type="dxa"/>
              <w:left w:w="100" w:type="dxa"/>
              <w:bottom w:w="60" w:type="dxa"/>
              <w:right w:w="100" w:type="dxa"/>
            </w:tcMar>
          </w:tcPr>
          <w:p w14:paraId="28EF7D98" w14:textId="77777777" w:rsidR="00CF2859" w:rsidRPr="00AE18A7" w:rsidRDefault="00AE3F9E">
            <w:pPr>
              <w:rPr>
                <w:rFonts w:ascii="Calibri" w:hAnsi="Calibri" w:cs="Calibri"/>
              </w:rPr>
            </w:pPr>
            <w:r w:rsidRPr="00AE18A7">
              <w:rPr>
                <w:rFonts w:ascii="Calibri" w:hAnsi="Calibri" w:cs="Calibri"/>
                <w:b/>
                <w:bCs/>
                <w:color w:val="FFFFFF"/>
                <w:sz w:val="17"/>
                <w:szCs w:val="17"/>
              </w:rPr>
              <w:t>Level</w:t>
            </w:r>
          </w:p>
        </w:tc>
        <w:tc>
          <w:tcPr>
            <w:tcW w:w="1400" w:type="dxa"/>
            <w:tcBorders>
              <w:top w:val="single" w:sz="1" w:space="0" w:color="1A1A1A"/>
              <w:left w:val="single" w:sz="1" w:space="0" w:color="1A1A1A"/>
              <w:bottom w:val="single" w:sz="1" w:space="0" w:color="1A1A1A"/>
              <w:right w:val="single" w:sz="1" w:space="0" w:color="1A1A1A"/>
            </w:tcBorders>
            <w:shd w:val="clear" w:color="auto" w:fill="1A1A1A"/>
            <w:tcMar>
              <w:top w:w="60" w:type="dxa"/>
              <w:left w:w="100" w:type="dxa"/>
              <w:bottom w:w="60" w:type="dxa"/>
              <w:right w:w="100" w:type="dxa"/>
            </w:tcMar>
          </w:tcPr>
          <w:p w14:paraId="28EF7D99" w14:textId="77777777" w:rsidR="00CF2859" w:rsidRPr="00AE18A7" w:rsidRDefault="00AE3F9E">
            <w:pPr>
              <w:rPr>
                <w:rFonts w:ascii="Calibri" w:hAnsi="Calibri" w:cs="Calibri"/>
              </w:rPr>
            </w:pPr>
            <w:r w:rsidRPr="00AE18A7">
              <w:rPr>
                <w:rFonts w:ascii="Calibri" w:hAnsi="Calibri" w:cs="Calibri"/>
                <w:b/>
                <w:bCs/>
                <w:color w:val="FFFFFF"/>
                <w:sz w:val="17"/>
                <w:szCs w:val="17"/>
              </w:rPr>
              <w:t>Score</w:t>
            </w:r>
          </w:p>
        </w:tc>
        <w:tc>
          <w:tcPr>
            <w:tcW w:w="6032" w:type="dxa"/>
            <w:tcBorders>
              <w:top w:val="single" w:sz="1" w:space="0" w:color="1A1A1A"/>
              <w:left w:val="single" w:sz="1" w:space="0" w:color="1A1A1A"/>
              <w:bottom w:val="single" w:sz="1" w:space="0" w:color="1A1A1A"/>
              <w:right w:val="single" w:sz="1" w:space="0" w:color="1A1A1A"/>
            </w:tcBorders>
            <w:shd w:val="clear" w:color="auto" w:fill="1A1A1A"/>
            <w:tcMar>
              <w:top w:w="60" w:type="dxa"/>
              <w:left w:w="100" w:type="dxa"/>
              <w:bottom w:w="60" w:type="dxa"/>
              <w:right w:w="100" w:type="dxa"/>
            </w:tcMar>
          </w:tcPr>
          <w:p w14:paraId="28EF7D9A" w14:textId="77777777" w:rsidR="00CF2859" w:rsidRPr="00AE18A7" w:rsidRDefault="00AE3F9E">
            <w:pPr>
              <w:rPr>
                <w:rFonts w:ascii="Calibri" w:hAnsi="Calibri" w:cs="Calibri"/>
              </w:rPr>
            </w:pPr>
            <w:r w:rsidRPr="00AE18A7">
              <w:rPr>
                <w:rFonts w:ascii="Calibri" w:hAnsi="Calibri" w:cs="Calibri"/>
                <w:b/>
                <w:bCs/>
                <w:color w:val="FFFFFF"/>
                <w:sz w:val="17"/>
                <w:szCs w:val="17"/>
              </w:rPr>
              <w:t>Actions Permitted</w:t>
            </w:r>
          </w:p>
        </w:tc>
      </w:tr>
      <w:tr w:rsidR="00CF2859" w:rsidRPr="00AE18A7" w14:paraId="28EF7D9F" w14:textId="77777777">
        <w:tc>
          <w:tcPr>
            <w:tcW w:w="16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D9C"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Confirmed</w:t>
            </w:r>
          </w:p>
        </w:tc>
        <w:tc>
          <w:tcPr>
            <w:tcW w:w="14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D9D" w14:textId="77777777" w:rsidR="00CF2859" w:rsidRPr="00B45CCC" w:rsidRDefault="00AE3F9E">
            <w:pPr>
              <w:spacing w:line="260" w:lineRule="auto"/>
              <w:rPr>
                <w:rFonts w:ascii="Calibri" w:hAnsi="Calibri" w:cs="Calibri"/>
                <w:sz w:val="17"/>
                <w:szCs w:val="17"/>
              </w:rPr>
            </w:pPr>
            <w:r w:rsidRPr="00B45CCC">
              <w:rPr>
                <w:rFonts w:ascii="Calibri" w:hAnsi="Calibri" w:cs="Calibri"/>
                <w:sz w:val="17"/>
                <w:szCs w:val="17"/>
              </w:rPr>
              <w:t>90-100</w:t>
            </w:r>
          </w:p>
        </w:tc>
        <w:tc>
          <w:tcPr>
            <w:tcW w:w="6032"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D9E"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Tier L3 and below, subject to all governance gates</w:t>
            </w:r>
          </w:p>
        </w:tc>
      </w:tr>
      <w:tr w:rsidR="00CF2859" w:rsidRPr="00AE18A7" w14:paraId="28EF7DA3"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DA0"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High</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DA1" w14:textId="77777777" w:rsidR="00CF2859" w:rsidRPr="00B45CCC" w:rsidRDefault="00AE3F9E">
            <w:pPr>
              <w:spacing w:line="260" w:lineRule="auto"/>
              <w:rPr>
                <w:rFonts w:ascii="Calibri" w:hAnsi="Calibri" w:cs="Calibri"/>
                <w:sz w:val="17"/>
                <w:szCs w:val="17"/>
              </w:rPr>
            </w:pPr>
            <w:r w:rsidRPr="00B45CCC">
              <w:rPr>
                <w:rFonts w:ascii="Calibri" w:hAnsi="Calibri" w:cs="Calibri"/>
                <w:sz w:val="17"/>
                <w:szCs w:val="17"/>
              </w:rPr>
              <w:t>75-89</w:t>
            </w:r>
          </w:p>
        </w:tc>
        <w:tc>
          <w:tcPr>
            <w:tcW w:w="603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DA2"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Tier L2 without restriction. Tier L3 with additional verification.</w:t>
            </w:r>
          </w:p>
        </w:tc>
      </w:tr>
      <w:tr w:rsidR="00CF2859" w:rsidRPr="00AE18A7" w14:paraId="28EF7DA7" w14:textId="77777777">
        <w:tc>
          <w:tcPr>
            <w:tcW w:w="16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DA4"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Moderate</w:t>
            </w:r>
          </w:p>
        </w:tc>
        <w:tc>
          <w:tcPr>
            <w:tcW w:w="14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DA5" w14:textId="77777777" w:rsidR="00CF2859" w:rsidRPr="00B45CCC" w:rsidRDefault="00AE3F9E">
            <w:pPr>
              <w:spacing w:line="260" w:lineRule="auto"/>
              <w:rPr>
                <w:rFonts w:ascii="Calibri" w:hAnsi="Calibri" w:cs="Calibri"/>
                <w:sz w:val="17"/>
                <w:szCs w:val="17"/>
              </w:rPr>
            </w:pPr>
            <w:r w:rsidRPr="00B45CCC">
              <w:rPr>
                <w:rFonts w:ascii="Calibri" w:hAnsi="Calibri" w:cs="Calibri"/>
                <w:sz w:val="17"/>
                <w:szCs w:val="17"/>
              </w:rPr>
              <w:t>55-74</w:t>
            </w:r>
          </w:p>
        </w:tc>
        <w:tc>
          <w:tcPr>
            <w:tcW w:w="6032"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DA6"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Tier L1 and below. Tier L3: HARD BLOCK.</w:t>
            </w:r>
          </w:p>
        </w:tc>
      </w:tr>
      <w:tr w:rsidR="00CF2859" w:rsidRPr="00AE18A7" w14:paraId="28EF7DAB"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DA8"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Low</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DA9" w14:textId="77777777" w:rsidR="00CF2859" w:rsidRPr="00B45CCC" w:rsidRDefault="00AE3F9E">
            <w:pPr>
              <w:spacing w:line="260" w:lineRule="auto"/>
              <w:rPr>
                <w:rFonts w:ascii="Calibri" w:hAnsi="Calibri" w:cs="Calibri"/>
                <w:sz w:val="17"/>
                <w:szCs w:val="17"/>
              </w:rPr>
            </w:pPr>
            <w:r w:rsidRPr="00B45CCC">
              <w:rPr>
                <w:rFonts w:ascii="Calibri" w:hAnsi="Calibri" w:cs="Calibri"/>
                <w:sz w:val="17"/>
                <w:szCs w:val="17"/>
              </w:rPr>
              <w:t>30-54</w:t>
            </w:r>
          </w:p>
        </w:tc>
        <w:tc>
          <w:tcPr>
            <w:tcW w:w="603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DAA"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Tier L0 only. Conditional Override triggered.</w:t>
            </w:r>
          </w:p>
        </w:tc>
      </w:tr>
      <w:tr w:rsidR="00CF2859" w:rsidRPr="00AE18A7" w14:paraId="28EF7DAF" w14:textId="77777777">
        <w:tc>
          <w:tcPr>
            <w:tcW w:w="16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DAC"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Unknown</w:t>
            </w:r>
          </w:p>
        </w:tc>
        <w:tc>
          <w:tcPr>
            <w:tcW w:w="14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DAD" w14:textId="77777777" w:rsidR="00CF2859" w:rsidRPr="00B45CCC" w:rsidRDefault="00AE3F9E">
            <w:pPr>
              <w:spacing w:line="260" w:lineRule="auto"/>
              <w:rPr>
                <w:rFonts w:ascii="Calibri" w:hAnsi="Calibri" w:cs="Calibri"/>
                <w:sz w:val="17"/>
                <w:szCs w:val="17"/>
              </w:rPr>
            </w:pPr>
            <w:r w:rsidRPr="00B45CCC">
              <w:rPr>
                <w:rFonts w:ascii="Calibri" w:hAnsi="Calibri" w:cs="Calibri"/>
                <w:sz w:val="17"/>
                <w:szCs w:val="17"/>
              </w:rPr>
              <w:t>0-29</w:t>
            </w:r>
          </w:p>
        </w:tc>
        <w:tc>
          <w:tcPr>
            <w:tcW w:w="6032"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DAE"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No action. Hard block. Intelligence collection required.</w:t>
            </w:r>
          </w:p>
        </w:tc>
      </w:tr>
    </w:tbl>
    <w:p w14:paraId="28EF7DB0" w14:textId="77777777" w:rsidR="00CF2859" w:rsidRPr="00AE18A7" w:rsidRDefault="00CF2859">
      <w:pPr>
        <w:spacing w:before="40"/>
        <w:rPr>
          <w:rFonts w:ascii="Calibri" w:hAnsi="Calibri" w:cs="Calibri"/>
        </w:rPr>
      </w:pPr>
    </w:p>
    <w:p w14:paraId="28EF7DB1" w14:textId="77777777" w:rsidR="00CF2859" w:rsidRPr="00AE18A7" w:rsidRDefault="00AE3F9E">
      <w:pPr>
        <w:spacing w:before="80" w:line="276" w:lineRule="auto"/>
        <w:rPr>
          <w:rFonts w:ascii="Calibri" w:hAnsi="Calibri" w:cs="Calibri"/>
        </w:rPr>
      </w:pPr>
      <w:r w:rsidRPr="00AE18A7">
        <w:rPr>
          <w:rFonts w:ascii="Calibri" w:hAnsi="Calibri" w:cs="Calibri"/>
        </w:rPr>
        <w:t>Known Unknowns in a specific set of categories are categorical hard blocks at Layer 1, not confidence degraders. The full reference table is provided in Appendix A.</w:t>
      </w:r>
    </w:p>
    <w:p w14:paraId="28EF7DB2" w14:textId="77777777" w:rsidR="00CF2859" w:rsidRPr="00AE18A7" w:rsidRDefault="00CF2859">
      <w:pPr>
        <w:spacing w:before="80"/>
        <w:rPr>
          <w:rFonts w:ascii="Calibri" w:hAnsi="Calibri" w:cs="Calibri"/>
        </w:rPr>
      </w:pPr>
    </w:p>
    <w:p w14:paraId="28EF7DB3" w14:textId="77777777" w:rsidR="00CF2859" w:rsidRPr="00AE18A7" w:rsidRDefault="00AE3F9E" w:rsidP="0071202F">
      <w:pPr>
        <w:pStyle w:val="Heading10"/>
      </w:pPr>
      <w:bookmarkStart w:id="17" w:name="_Toc229741682"/>
      <w:r w:rsidRPr="00AE18A7">
        <w:t>8. Layer 2: Lethality Tier Model</w:t>
      </w:r>
      <w:bookmarkEnd w:id="17"/>
    </w:p>
    <w:tbl>
      <w:tblPr>
        <w:tblW w:w="9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800"/>
        <w:gridCol w:w="2200"/>
        <w:gridCol w:w="2200"/>
        <w:gridCol w:w="1132"/>
      </w:tblGrid>
      <w:tr w:rsidR="00CF2859" w:rsidRPr="00AE18A7" w14:paraId="28EF7DB9" w14:textId="77777777">
        <w:trPr>
          <w:tblHeader/>
        </w:trPr>
        <w:tc>
          <w:tcPr>
            <w:tcW w:w="700" w:type="dxa"/>
            <w:tcBorders>
              <w:top w:val="single" w:sz="1" w:space="0" w:color="1A1A1A"/>
              <w:left w:val="single" w:sz="1" w:space="0" w:color="1A1A1A"/>
              <w:bottom w:val="single" w:sz="1" w:space="0" w:color="1A1A1A"/>
              <w:right w:val="single" w:sz="1" w:space="0" w:color="1A1A1A"/>
            </w:tcBorders>
            <w:shd w:val="clear" w:color="auto" w:fill="1A1A1A"/>
            <w:tcMar>
              <w:top w:w="60" w:type="dxa"/>
              <w:left w:w="100" w:type="dxa"/>
              <w:bottom w:w="60" w:type="dxa"/>
              <w:right w:w="100" w:type="dxa"/>
            </w:tcMar>
          </w:tcPr>
          <w:p w14:paraId="28EF7DB4" w14:textId="77777777" w:rsidR="00CF2859" w:rsidRPr="00AE18A7" w:rsidRDefault="00AE3F9E">
            <w:pPr>
              <w:rPr>
                <w:rFonts w:ascii="Calibri" w:hAnsi="Calibri" w:cs="Calibri"/>
              </w:rPr>
            </w:pPr>
            <w:r w:rsidRPr="00AE18A7">
              <w:rPr>
                <w:rFonts w:ascii="Calibri" w:hAnsi="Calibri" w:cs="Calibri"/>
                <w:b/>
                <w:bCs/>
                <w:color w:val="FFFFFF"/>
                <w:sz w:val="17"/>
                <w:szCs w:val="17"/>
              </w:rPr>
              <w:t>Tier</w:t>
            </w:r>
          </w:p>
        </w:tc>
        <w:tc>
          <w:tcPr>
            <w:tcW w:w="2800" w:type="dxa"/>
            <w:tcBorders>
              <w:top w:val="single" w:sz="1" w:space="0" w:color="1A1A1A"/>
              <w:left w:val="single" w:sz="1" w:space="0" w:color="1A1A1A"/>
              <w:bottom w:val="single" w:sz="1" w:space="0" w:color="1A1A1A"/>
              <w:right w:val="single" w:sz="1" w:space="0" w:color="1A1A1A"/>
            </w:tcBorders>
            <w:shd w:val="clear" w:color="auto" w:fill="1A1A1A"/>
            <w:tcMar>
              <w:top w:w="60" w:type="dxa"/>
              <w:left w:w="100" w:type="dxa"/>
              <w:bottom w:w="60" w:type="dxa"/>
              <w:right w:w="100" w:type="dxa"/>
            </w:tcMar>
          </w:tcPr>
          <w:p w14:paraId="28EF7DB5" w14:textId="77777777" w:rsidR="00CF2859" w:rsidRPr="00AE18A7" w:rsidRDefault="00AE3F9E">
            <w:pPr>
              <w:rPr>
                <w:rFonts w:ascii="Calibri" w:hAnsi="Calibri" w:cs="Calibri"/>
              </w:rPr>
            </w:pPr>
            <w:r w:rsidRPr="00AE18A7">
              <w:rPr>
                <w:rFonts w:ascii="Calibri" w:hAnsi="Calibri" w:cs="Calibri"/>
                <w:b/>
                <w:bCs/>
                <w:color w:val="FFFFFF"/>
                <w:sz w:val="17"/>
                <w:szCs w:val="17"/>
              </w:rPr>
              <w:t>Name</w:t>
            </w:r>
          </w:p>
        </w:tc>
        <w:tc>
          <w:tcPr>
            <w:tcW w:w="2200" w:type="dxa"/>
            <w:tcBorders>
              <w:top w:val="single" w:sz="1" w:space="0" w:color="1A1A1A"/>
              <w:left w:val="single" w:sz="1" w:space="0" w:color="1A1A1A"/>
              <w:bottom w:val="single" w:sz="1" w:space="0" w:color="1A1A1A"/>
              <w:right w:val="single" w:sz="1" w:space="0" w:color="1A1A1A"/>
            </w:tcBorders>
            <w:shd w:val="clear" w:color="auto" w:fill="1A1A1A"/>
            <w:tcMar>
              <w:top w:w="60" w:type="dxa"/>
              <w:left w:w="100" w:type="dxa"/>
              <w:bottom w:w="60" w:type="dxa"/>
              <w:right w:w="100" w:type="dxa"/>
            </w:tcMar>
          </w:tcPr>
          <w:p w14:paraId="28EF7DB6" w14:textId="77777777" w:rsidR="00CF2859" w:rsidRPr="00AE18A7" w:rsidRDefault="00AE3F9E">
            <w:pPr>
              <w:rPr>
                <w:rFonts w:ascii="Calibri" w:hAnsi="Calibri" w:cs="Calibri"/>
              </w:rPr>
            </w:pPr>
            <w:r w:rsidRPr="00AE18A7">
              <w:rPr>
                <w:rFonts w:ascii="Calibri" w:hAnsi="Calibri" w:cs="Calibri"/>
                <w:b/>
                <w:bCs/>
                <w:color w:val="FFFFFF"/>
                <w:sz w:val="17"/>
                <w:szCs w:val="17"/>
              </w:rPr>
              <w:t>Authorisers</w:t>
            </w:r>
          </w:p>
        </w:tc>
        <w:tc>
          <w:tcPr>
            <w:tcW w:w="2200" w:type="dxa"/>
            <w:tcBorders>
              <w:top w:val="single" w:sz="1" w:space="0" w:color="1A1A1A"/>
              <w:left w:val="single" w:sz="1" w:space="0" w:color="1A1A1A"/>
              <w:bottom w:val="single" w:sz="1" w:space="0" w:color="1A1A1A"/>
              <w:right w:val="single" w:sz="1" w:space="0" w:color="1A1A1A"/>
            </w:tcBorders>
            <w:shd w:val="clear" w:color="auto" w:fill="1A1A1A"/>
            <w:tcMar>
              <w:top w:w="60" w:type="dxa"/>
              <w:left w:w="100" w:type="dxa"/>
              <w:bottom w:w="60" w:type="dxa"/>
              <w:right w:w="100" w:type="dxa"/>
            </w:tcMar>
          </w:tcPr>
          <w:p w14:paraId="28EF7DB7" w14:textId="77777777" w:rsidR="00CF2859" w:rsidRPr="00AE18A7" w:rsidRDefault="00AE3F9E">
            <w:pPr>
              <w:rPr>
                <w:rFonts w:ascii="Calibri" w:hAnsi="Calibri" w:cs="Calibri"/>
              </w:rPr>
            </w:pPr>
            <w:r w:rsidRPr="00AE18A7">
              <w:rPr>
                <w:rFonts w:ascii="Calibri" w:hAnsi="Calibri" w:cs="Calibri"/>
                <w:b/>
                <w:bCs/>
                <w:color w:val="FFFFFF"/>
                <w:sz w:val="17"/>
                <w:szCs w:val="17"/>
              </w:rPr>
              <w:t>Legal Advisor</w:t>
            </w:r>
          </w:p>
        </w:tc>
        <w:tc>
          <w:tcPr>
            <w:tcW w:w="1132" w:type="dxa"/>
            <w:tcBorders>
              <w:top w:val="single" w:sz="1" w:space="0" w:color="1A1A1A"/>
              <w:left w:val="single" w:sz="1" w:space="0" w:color="1A1A1A"/>
              <w:bottom w:val="single" w:sz="1" w:space="0" w:color="1A1A1A"/>
              <w:right w:val="single" w:sz="1" w:space="0" w:color="1A1A1A"/>
            </w:tcBorders>
            <w:shd w:val="clear" w:color="auto" w:fill="1A1A1A"/>
            <w:tcMar>
              <w:top w:w="60" w:type="dxa"/>
              <w:left w:w="100" w:type="dxa"/>
              <w:bottom w:w="60" w:type="dxa"/>
              <w:right w:w="100" w:type="dxa"/>
            </w:tcMar>
          </w:tcPr>
          <w:p w14:paraId="28EF7DB8" w14:textId="77777777" w:rsidR="00CF2859" w:rsidRPr="00AE18A7" w:rsidRDefault="00AE3F9E">
            <w:pPr>
              <w:rPr>
                <w:rFonts w:ascii="Calibri" w:hAnsi="Calibri" w:cs="Calibri"/>
              </w:rPr>
            </w:pPr>
            <w:r w:rsidRPr="00AE18A7">
              <w:rPr>
                <w:rFonts w:ascii="Calibri" w:hAnsi="Calibri" w:cs="Calibri"/>
                <w:b/>
                <w:bCs/>
                <w:color w:val="FFFFFF"/>
                <w:sz w:val="17"/>
                <w:szCs w:val="17"/>
              </w:rPr>
              <w:t>Approval Window</w:t>
            </w:r>
          </w:p>
        </w:tc>
      </w:tr>
      <w:tr w:rsidR="00CF2859" w:rsidRPr="00AE18A7" w14:paraId="28EF7DBF" w14:textId="77777777">
        <w:tc>
          <w:tcPr>
            <w:tcW w:w="7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DBA"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L0</w:t>
            </w:r>
          </w:p>
        </w:tc>
        <w:tc>
          <w:tcPr>
            <w:tcW w:w="28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DBB"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Non-kinetic reversible</w:t>
            </w:r>
          </w:p>
        </w:tc>
        <w:tc>
          <w:tcPr>
            <w:tcW w:w="22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DBC"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Authentication only</w:t>
            </w:r>
          </w:p>
        </w:tc>
        <w:tc>
          <w:tcPr>
            <w:tcW w:w="22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DBD"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No</w:t>
            </w:r>
          </w:p>
        </w:tc>
        <w:tc>
          <w:tcPr>
            <w:tcW w:w="1132"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DBE"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N/A</w:t>
            </w:r>
          </w:p>
        </w:tc>
      </w:tr>
      <w:tr w:rsidR="00CF2859" w:rsidRPr="00AE18A7" w14:paraId="28EF7DC5"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DC0"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L1</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DC1"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Non-kinetic potentially irreversible</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DC2"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1</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DC3"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No</w:t>
            </w:r>
          </w:p>
        </w:tc>
        <w:tc>
          <w:tcPr>
            <w:tcW w:w="113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DC4"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60 minutes</w:t>
            </w:r>
          </w:p>
        </w:tc>
      </w:tr>
      <w:tr w:rsidR="00CF2859" w:rsidRPr="00AE18A7" w14:paraId="28EF7DCB" w14:textId="77777777">
        <w:tc>
          <w:tcPr>
            <w:tcW w:w="7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DC6"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L2</w:t>
            </w:r>
          </w:p>
        </w:tc>
        <w:tc>
          <w:tcPr>
            <w:tcW w:w="28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DC7"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Kinetic non-lethal</w:t>
            </w:r>
          </w:p>
        </w:tc>
        <w:tc>
          <w:tcPr>
            <w:tcW w:w="22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DC8"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2 independent</w:t>
            </w:r>
          </w:p>
        </w:tc>
        <w:tc>
          <w:tcPr>
            <w:tcW w:w="22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DC9"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Recommended</w:t>
            </w:r>
          </w:p>
        </w:tc>
        <w:tc>
          <w:tcPr>
            <w:tcW w:w="1132"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DCA"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30 minutes</w:t>
            </w:r>
          </w:p>
        </w:tc>
      </w:tr>
      <w:tr w:rsidR="00CF2859" w:rsidRPr="00AE18A7" w14:paraId="28EF7DD1"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DCC"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L3</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DCD"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Kinetic potentially lethal</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DCE"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3 independent</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DCF"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MANDATORY</w:t>
            </w:r>
          </w:p>
        </w:tc>
        <w:tc>
          <w:tcPr>
            <w:tcW w:w="113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DD0"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15 minutes</w:t>
            </w:r>
          </w:p>
        </w:tc>
      </w:tr>
      <w:tr w:rsidR="00CF2859" w:rsidRPr="00AE18A7" w14:paraId="28EF7DD7" w14:textId="77777777">
        <w:tc>
          <w:tcPr>
            <w:tcW w:w="7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DD2"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L4</w:t>
            </w:r>
          </w:p>
        </w:tc>
        <w:tc>
          <w:tcPr>
            <w:tcW w:w="28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DD3"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Kinetic mass casualty potential</w:t>
            </w:r>
          </w:p>
        </w:tc>
        <w:tc>
          <w:tcPr>
            <w:tcW w:w="22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DD4"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5 including political authority</w:t>
            </w:r>
          </w:p>
        </w:tc>
        <w:tc>
          <w:tcPr>
            <w:tcW w:w="22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DD5"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MANDATORY + independent review</w:t>
            </w:r>
          </w:p>
        </w:tc>
        <w:tc>
          <w:tcPr>
            <w:tcW w:w="1132"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DD6"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30 minutes</w:t>
            </w:r>
          </w:p>
        </w:tc>
      </w:tr>
    </w:tbl>
    <w:p w14:paraId="28EF7DD8" w14:textId="77777777" w:rsidR="00CF2859" w:rsidRPr="00AE18A7" w:rsidRDefault="00CF2859">
      <w:pPr>
        <w:spacing w:before="40"/>
        <w:rPr>
          <w:rFonts w:ascii="Calibri" w:hAnsi="Calibri" w:cs="Calibri"/>
        </w:rPr>
      </w:pPr>
    </w:p>
    <w:p w14:paraId="28EF7DD9" w14:textId="77777777" w:rsidR="00CF2859" w:rsidRPr="00AE18A7" w:rsidRDefault="00AE3F9E">
      <w:pPr>
        <w:spacing w:before="80" w:line="276" w:lineRule="auto"/>
        <w:rPr>
          <w:rFonts w:ascii="Calibri" w:hAnsi="Calibri" w:cs="Calibri"/>
        </w:rPr>
      </w:pPr>
      <w:r w:rsidRPr="00AE18A7">
        <w:rPr>
          <w:rFonts w:ascii="Calibri" w:hAnsi="Calibri" w:cs="Calibri"/>
        </w:rPr>
        <w:t>Tier classification is determined by anticipated effect type, not by the authorising commander's assessment of risk. A Tier L3 recommendation cannot be downgraded to Tier L2 by command instruction. The tier classification is determined by the system and embedded in the approval token.</w:t>
      </w:r>
    </w:p>
    <w:p w14:paraId="28EF7DDA" w14:textId="77777777" w:rsidR="00CF2859" w:rsidRPr="00AE18A7" w:rsidRDefault="00CF2859">
      <w:pPr>
        <w:spacing w:before="80"/>
        <w:rPr>
          <w:rFonts w:ascii="Calibri" w:hAnsi="Calibri" w:cs="Calibri"/>
          <w:lang w:val="en-GB"/>
        </w:rPr>
      </w:pPr>
    </w:p>
    <w:p w14:paraId="4390DA19" w14:textId="77777777" w:rsidR="0071202F" w:rsidRPr="00AE18A7" w:rsidRDefault="0071202F">
      <w:pPr>
        <w:spacing w:before="80"/>
        <w:rPr>
          <w:rFonts w:ascii="Calibri" w:hAnsi="Calibri" w:cs="Calibri"/>
          <w:lang w:val="en-GB"/>
        </w:rPr>
      </w:pPr>
    </w:p>
    <w:p w14:paraId="09272069" w14:textId="77777777" w:rsidR="0071202F" w:rsidRPr="00AE18A7" w:rsidRDefault="0071202F">
      <w:pPr>
        <w:spacing w:before="80"/>
        <w:rPr>
          <w:rFonts w:ascii="Calibri" w:hAnsi="Calibri" w:cs="Calibri"/>
          <w:lang w:val="en-GB"/>
        </w:rPr>
      </w:pPr>
    </w:p>
    <w:p w14:paraId="28EF7DDB" w14:textId="77777777" w:rsidR="00CF2859" w:rsidRPr="00AE18A7" w:rsidRDefault="00AE3F9E" w:rsidP="0071202F">
      <w:pPr>
        <w:pStyle w:val="Heading10"/>
      </w:pPr>
      <w:bookmarkStart w:id="18" w:name="_Toc229741683"/>
      <w:r w:rsidRPr="00AE18A7">
        <w:t>9. Layer 3: Human Authorisation</w:t>
      </w:r>
      <w:bookmarkEnd w:id="18"/>
    </w:p>
    <w:p w14:paraId="28EF7DDC" w14:textId="77777777" w:rsidR="00CF2859" w:rsidRPr="00AE18A7" w:rsidRDefault="00AE3F9E" w:rsidP="0071202F">
      <w:pPr>
        <w:pStyle w:val="Heading20"/>
      </w:pPr>
      <w:bookmarkStart w:id="19" w:name="_Toc229741684"/>
      <w:r w:rsidRPr="00AE18A7">
        <w:t>9.1 Multi-Authoriser Requirement</w:t>
      </w:r>
      <w:bookmarkEnd w:id="19"/>
    </w:p>
    <w:p w14:paraId="28EF7DDD" w14:textId="21E03AB1" w:rsidR="00CF2859" w:rsidRPr="00AE18A7" w:rsidRDefault="00AE3F9E">
      <w:pPr>
        <w:spacing w:before="80" w:line="276" w:lineRule="auto"/>
        <w:rPr>
          <w:rFonts w:ascii="Calibri" w:hAnsi="Calibri" w:cs="Calibri"/>
          <w:lang w:val="en-GB"/>
        </w:rPr>
      </w:pPr>
      <w:r w:rsidRPr="00AE18A7">
        <w:rPr>
          <w:rFonts w:ascii="Calibri" w:hAnsi="Calibri" w:cs="Calibri"/>
        </w:rPr>
        <w:t>Layer 3 directly addresses GAP-04. Multiple independent authorisers with distinct roles are required because: single-point cognitive failure cannot be excluded; automation bias is amplified in solo review; and role conflation prevents rigorous independent assessment of tactical necessity, legal compliance, and proportionality separately.</w:t>
      </w:r>
    </w:p>
    <w:p w14:paraId="365DD058" w14:textId="77777777" w:rsidR="0071202F" w:rsidRPr="00AE18A7" w:rsidRDefault="0071202F">
      <w:pPr>
        <w:spacing w:before="80" w:line="276" w:lineRule="auto"/>
        <w:rPr>
          <w:rFonts w:ascii="Calibri" w:hAnsi="Calibri" w:cs="Calibri"/>
          <w:lang w:val="en-GB"/>
        </w:rPr>
      </w:pPr>
    </w:p>
    <w:tbl>
      <w:tblPr>
        <w:tblW w:w="9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2000"/>
        <w:gridCol w:w="832"/>
      </w:tblGrid>
      <w:tr w:rsidR="00CF2859" w:rsidRPr="00AE18A7" w14:paraId="28EF7DE2" w14:textId="77777777">
        <w:trPr>
          <w:tblHeader/>
        </w:trPr>
        <w:tc>
          <w:tcPr>
            <w:tcW w:w="2600" w:type="dxa"/>
            <w:tcBorders>
              <w:top w:val="single" w:sz="1" w:space="0" w:color="1A1A1A"/>
              <w:left w:val="single" w:sz="1" w:space="0" w:color="1A1A1A"/>
              <w:bottom w:val="single" w:sz="1" w:space="0" w:color="1A1A1A"/>
              <w:right w:val="single" w:sz="1" w:space="0" w:color="1A1A1A"/>
            </w:tcBorders>
            <w:shd w:val="clear" w:color="auto" w:fill="1A1A1A"/>
            <w:tcMar>
              <w:top w:w="60" w:type="dxa"/>
              <w:left w:w="100" w:type="dxa"/>
              <w:bottom w:w="60" w:type="dxa"/>
              <w:right w:w="100" w:type="dxa"/>
            </w:tcMar>
          </w:tcPr>
          <w:p w14:paraId="28EF7DDE" w14:textId="77777777" w:rsidR="00CF2859" w:rsidRPr="00AE18A7" w:rsidRDefault="00AE3F9E">
            <w:pPr>
              <w:rPr>
                <w:rFonts w:ascii="Calibri" w:hAnsi="Calibri" w:cs="Calibri"/>
              </w:rPr>
            </w:pPr>
            <w:r w:rsidRPr="00AE18A7">
              <w:rPr>
                <w:rFonts w:ascii="Calibri" w:hAnsi="Calibri" w:cs="Calibri"/>
                <w:b/>
                <w:bCs/>
                <w:color w:val="FFFFFF"/>
                <w:sz w:val="17"/>
                <w:szCs w:val="17"/>
              </w:rPr>
              <w:t>Authoriser Role</w:t>
            </w:r>
          </w:p>
        </w:tc>
        <w:tc>
          <w:tcPr>
            <w:tcW w:w="3600" w:type="dxa"/>
            <w:tcBorders>
              <w:top w:val="single" w:sz="1" w:space="0" w:color="1A1A1A"/>
              <w:left w:val="single" w:sz="1" w:space="0" w:color="1A1A1A"/>
              <w:bottom w:val="single" w:sz="1" w:space="0" w:color="1A1A1A"/>
              <w:right w:val="single" w:sz="1" w:space="0" w:color="1A1A1A"/>
            </w:tcBorders>
            <w:shd w:val="clear" w:color="auto" w:fill="1A1A1A"/>
            <w:tcMar>
              <w:top w:w="60" w:type="dxa"/>
              <w:left w:w="100" w:type="dxa"/>
              <w:bottom w:w="60" w:type="dxa"/>
              <w:right w:w="100" w:type="dxa"/>
            </w:tcMar>
          </w:tcPr>
          <w:p w14:paraId="28EF7DDF" w14:textId="77777777" w:rsidR="00CF2859" w:rsidRPr="00AE18A7" w:rsidRDefault="00AE3F9E">
            <w:pPr>
              <w:rPr>
                <w:rFonts w:ascii="Calibri" w:hAnsi="Calibri" w:cs="Calibri"/>
              </w:rPr>
            </w:pPr>
            <w:r w:rsidRPr="00AE18A7">
              <w:rPr>
                <w:rFonts w:ascii="Calibri" w:hAnsi="Calibri" w:cs="Calibri"/>
                <w:b/>
                <w:bCs/>
                <w:color w:val="FFFFFF"/>
                <w:sz w:val="17"/>
                <w:szCs w:val="17"/>
              </w:rPr>
              <w:t>Function</w:t>
            </w:r>
          </w:p>
        </w:tc>
        <w:tc>
          <w:tcPr>
            <w:tcW w:w="2000" w:type="dxa"/>
            <w:tcBorders>
              <w:top w:val="single" w:sz="1" w:space="0" w:color="1A1A1A"/>
              <w:left w:val="single" w:sz="1" w:space="0" w:color="1A1A1A"/>
              <w:bottom w:val="single" w:sz="1" w:space="0" w:color="1A1A1A"/>
              <w:right w:val="single" w:sz="1" w:space="0" w:color="1A1A1A"/>
            </w:tcBorders>
            <w:shd w:val="clear" w:color="auto" w:fill="1A1A1A"/>
            <w:tcMar>
              <w:top w:w="60" w:type="dxa"/>
              <w:left w:w="100" w:type="dxa"/>
              <w:bottom w:w="60" w:type="dxa"/>
              <w:right w:w="100" w:type="dxa"/>
            </w:tcMar>
          </w:tcPr>
          <w:p w14:paraId="28EF7DE0" w14:textId="77777777" w:rsidR="00CF2859" w:rsidRPr="00AE18A7" w:rsidRDefault="00AE3F9E">
            <w:pPr>
              <w:rPr>
                <w:rFonts w:ascii="Calibri" w:hAnsi="Calibri" w:cs="Calibri"/>
              </w:rPr>
            </w:pPr>
            <w:r w:rsidRPr="00AE18A7">
              <w:rPr>
                <w:rFonts w:ascii="Calibri" w:hAnsi="Calibri" w:cs="Calibri"/>
                <w:b/>
                <w:bCs/>
                <w:color w:val="FFFFFF"/>
                <w:sz w:val="17"/>
                <w:szCs w:val="17"/>
              </w:rPr>
              <w:t>Independent From</w:t>
            </w:r>
          </w:p>
        </w:tc>
        <w:tc>
          <w:tcPr>
            <w:tcW w:w="832" w:type="dxa"/>
            <w:tcBorders>
              <w:top w:val="single" w:sz="1" w:space="0" w:color="1A1A1A"/>
              <w:left w:val="single" w:sz="1" w:space="0" w:color="1A1A1A"/>
              <w:bottom w:val="single" w:sz="1" w:space="0" w:color="1A1A1A"/>
              <w:right w:val="single" w:sz="1" w:space="0" w:color="1A1A1A"/>
            </w:tcBorders>
            <w:shd w:val="clear" w:color="auto" w:fill="1A1A1A"/>
            <w:tcMar>
              <w:top w:w="60" w:type="dxa"/>
              <w:left w:w="100" w:type="dxa"/>
              <w:bottom w:w="60" w:type="dxa"/>
              <w:right w:w="100" w:type="dxa"/>
            </w:tcMar>
          </w:tcPr>
          <w:p w14:paraId="28EF7DE1" w14:textId="77777777" w:rsidR="00CF2859" w:rsidRPr="00AE18A7" w:rsidRDefault="00AE3F9E">
            <w:pPr>
              <w:rPr>
                <w:rFonts w:ascii="Calibri" w:hAnsi="Calibri" w:cs="Calibri"/>
              </w:rPr>
            </w:pPr>
            <w:r w:rsidRPr="00AE18A7">
              <w:rPr>
                <w:rFonts w:ascii="Calibri" w:hAnsi="Calibri" w:cs="Calibri"/>
                <w:b/>
                <w:bCs/>
                <w:color w:val="FFFFFF"/>
                <w:sz w:val="17"/>
                <w:szCs w:val="17"/>
              </w:rPr>
              <w:t>Min. for L3</w:t>
            </w:r>
          </w:p>
        </w:tc>
      </w:tr>
      <w:tr w:rsidR="00CF2859" w:rsidRPr="00AE18A7" w14:paraId="28EF7DE7" w14:textId="77777777">
        <w:tc>
          <w:tcPr>
            <w:tcW w:w="26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DE3"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Tactical Commander</w:t>
            </w:r>
          </w:p>
        </w:tc>
        <w:tc>
          <w:tcPr>
            <w:tcW w:w="36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DE4"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Confirms military necessity and operational feasibility</w:t>
            </w:r>
          </w:p>
        </w:tc>
        <w:tc>
          <w:tcPr>
            <w:tcW w:w="20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DE5"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All other roles</w:t>
            </w:r>
          </w:p>
        </w:tc>
        <w:tc>
          <w:tcPr>
            <w:tcW w:w="832"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DE6"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1 required</w:t>
            </w:r>
          </w:p>
        </w:tc>
      </w:tr>
      <w:tr w:rsidR="00CF2859" w:rsidRPr="00AE18A7" w14:paraId="28EF7DEC" w14:textId="77777777">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DE8"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Legal Advisor</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DE9"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Independently confirms IHL compliance, proportionality, military objective qualification. Block is absolute.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DEA" w14:textId="706C4BAF" w:rsidR="00CF2859" w:rsidRPr="00AE18A7" w:rsidRDefault="00AE3F9E">
            <w:pPr>
              <w:spacing w:line="260" w:lineRule="auto"/>
              <w:rPr>
                <w:rFonts w:ascii="Calibri" w:hAnsi="Calibri" w:cs="Calibri"/>
              </w:rPr>
            </w:pPr>
            <w:r w:rsidRPr="00AE18A7">
              <w:rPr>
                <w:rFonts w:ascii="Calibri" w:hAnsi="Calibri" w:cs="Calibri"/>
                <w:color w:val="444444"/>
                <w:sz w:val="17"/>
                <w:szCs w:val="17"/>
              </w:rPr>
              <w:t>Tactical authority system-enforced</w:t>
            </w:r>
          </w:p>
        </w:tc>
        <w:tc>
          <w:tcPr>
            <w:tcW w:w="83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DEB"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1 required</w:t>
            </w:r>
          </w:p>
        </w:tc>
      </w:tr>
      <w:tr w:rsidR="00CF2859" w:rsidRPr="00AE18A7" w14:paraId="28EF7DF1" w14:textId="77777777">
        <w:tc>
          <w:tcPr>
            <w:tcW w:w="26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DED"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Commanding Officer (use-of-force authority)</w:t>
            </w:r>
          </w:p>
        </w:tc>
        <w:tc>
          <w:tcPr>
            <w:tcW w:w="36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DEE"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Confirms authorisation under applicable mandate and RoE</w:t>
            </w:r>
          </w:p>
        </w:tc>
        <w:tc>
          <w:tcPr>
            <w:tcW w:w="20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DEF"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Verified by system</w:t>
            </w:r>
          </w:p>
        </w:tc>
        <w:tc>
          <w:tcPr>
            <w:tcW w:w="832"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DF0"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1 required</w:t>
            </w:r>
          </w:p>
        </w:tc>
      </w:tr>
      <w:tr w:rsidR="00CF2859" w:rsidRPr="00AE18A7" w14:paraId="28EF7DF6" w14:textId="77777777">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DF2"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Political Authority (Tier L4 only)</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DF3"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Confirms political authorisation for mass casualty potential actions</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DF4"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Constitutional level</w:t>
            </w:r>
          </w:p>
        </w:tc>
        <w:tc>
          <w:tcPr>
            <w:tcW w:w="83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DF5"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Required for L4</w:t>
            </w:r>
          </w:p>
        </w:tc>
      </w:tr>
    </w:tbl>
    <w:p w14:paraId="28EF7DF7" w14:textId="77777777" w:rsidR="00CF2859" w:rsidRPr="00AE18A7" w:rsidRDefault="00CF2859">
      <w:pPr>
        <w:spacing w:before="60"/>
        <w:rPr>
          <w:rFonts w:ascii="Calibri" w:hAnsi="Calibri" w:cs="Calibri"/>
        </w:rPr>
      </w:pPr>
    </w:p>
    <w:p w14:paraId="28EF7DF8" w14:textId="77777777" w:rsidR="00CF2859" w:rsidRPr="00AE18A7" w:rsidRDefault="00AE3F9E" w:rsidP="0071202F">
      <w:pPr>
        <w:pStyle w:val="Heading20"/>
      </w:pPr>
      <w:bookmarkStart w:id="20" w:name="_Toc229741685"/>
      <w:r w:rsidRPr="00AE18A7">
        <w:t>9.2 Anti-Automation-Bias Interface Requirements</w:t>
      </w:r>
      <w:bookmarkEnd w:id="20"/>
    </w:p>
    <w:p w14:paraId="28EF7DF9" w14:textId="153A0C54" w:rsidR="00CF2859" w:rsidRPr="00AE18A7" w:rsidRDefault="00AE3F9E">
      <w:pPr>
        <w:spacing w:before="80" w:line="276" w:lineRule="auto"/>
        <w:rPr>
          <w:rFonts w:ascii="Calibri" w:hAnsi="Calibri" w:cs="Calibri"/>
          <w:lang w:val="en-GB"/>
        </w:rPr>
      </w:pPr>
      <w:r w:rsidRPr="00AE18A7">
        <w:rPr>
          <w:rFonts w:ascii="Calibri" w:hAnsi="Calibri" w:cs="Calibri"/>
        </w:rPr>
        <w:t>Automation bias, the systematic tendency to over-rely on AI recommendations, is the primary governance failure mode in the human authorisation layer [11, 12]. The interface must actively resist it, not merely permit human review.</w:t>
      </w:r>
    </w:p>
    <w:p w14:paraId="574E8FC9" w14:textId="77777777" w:rsidR="007C2B03" w:rsidRPr="00AE18A7" w:rsidRDefault="00926153">
      <w:pPr>
        <w:rPr>
          <w:rFonts w:ascii="Calibri" w:hAnsi="Calibri" w:cs="Calibri"/>
        </w:rPr>
      </w:pPr>
      <w:r w:rsidRPr="00AE18A7">
        <w:rPr>
          <w:rFonts w:ascii="Calibri" w:hAnsi="Calibri" w:cs="Calibri"/>
        </w:rPr>
        <w:t>These interface controls are intended to reduce automation bias and create auditable evidence of cognitive engagement. They do not prove that meaningful human judgement occurred in every case. Empirical human-factors validation would be required before any implementation could be treated as operationally reliable.</w:t>
      </w:r>
    </w:p>
    <w:p w14:paraId="2D2398E5" w14:textId="77777777" w:rsidR="0071202F" w:rsidRPr="00AE18A7" w:rsidRDefault="0071202F">
      <w:pPr>
        <w:spacing w:before="80" w:line="276" w:lineRule="auto"/>
        <w:rPr>
          <w:rFonts w:ascii="Calibri" w:hAnsi="Calibri" w:cs="Calibri"/>
          <w:lang w:val="en-GB"/>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72"/>
      </w:tblGrid>
      <w:tr w:rsidR="00CF2859" w:rsidRPr="00AE18A7" w14:paraId="28EF7DFC" w14:textId="77777777">
        <w:trPr>
          <w:tblHeader/>
        </w:trPr>
        <w:tc>
          <w:tcPr>
            <w:tcW w:w="3000" w:type="dxa"/>
            <w:tcBorders>
              <w:top w:val="single" w:sz="1" w:space="0" w:color="1A1A1A"/>
              <w:left w:val="single" w:sz="1" w:space="0" w:color="1A1A1A"/>
              <w:bottom w:val="single" w:sz="1" w:space="0" w:color="1A1A1A"/>
              <w:right w:val="single" w:sz="1" w:space="0" w:color="1A1A1A"/>
            </w:tcBorders>
            <w:shd w:val="clear" w:color="auto" w:fill="1A1A1A"/>
            <w:tcMar>
              <w:top w:w="60" w:type="dxa"/>
              <w:left w:w="100" w:type="dxa"/>
              <w:bottom w:w="60" w:type="dxa"/>
              <w:right w:w="100" w:type="dxa"/>
            </w:tcMar>
          </w:tcPr>
          <w:p w14:paraId="28EF7DFA" w14:textId="77777777" w:rsidR="00CF2859" w:rsidRPr="00AE18A7" w:rsidRDefault="00AE3F9E">
            <w:pPr>
              <w:rPr>
                <w:rFonts w:ascii="Calibri" w:hAnsi="Calibri" w:cs="Calibri"/>
              </w:rPr>
            </w:pPr>
            <w:r w:rsidRPr="00AE18A7">
              <w:rPr>
                <w:rFonts w:ascii="Calibri" w:hAnsi="Calibri" w:cs="Calibri"/>
                <w:b/>
                <w:bCs/>
                <w:color w:val="FFFFFF"/>
                <w:sz w:val="17"/>
                <w:szCs w:val="17"/>
              </w:rPr>
              <w:t>Requirement</w:t>
            </w:r>
          </w:p>
        </w:tc>
        <w:tc>
          <w:tcPr>
            <w:tcW w:w="6072" w:type="dxa"/>
            <w:tcBorders>
              <w:top w:val="single" w:sz="1" w:space="0" w:color="1A1A1A"/>
              <w:left w:val="single" w:sz="1" w:space="0" w:color="1A1A1A"/>
              <w:bottom w:val="single" w:sz="1" w:space="0" w:color="1A1A1A"/>
              <w:right w:val="single" w:sz="1" w:space="0" w:color="1A1A1A"/>
            </w:tcBorders>
            <w:shd w:val="clear" w:color="auto" w:fill="1A1A1A"/>
            <w:tcMar>
              <w:top w:w="60" w:type="dxa"/>
              <w:left w:w="100" w:type="dxa"/>
              <w:bottom w:w="60" w:type="dxa"/>
              <w:right w:w="100" w:type="dxa"/>
            </w:tcMar>
          </w:tcPr>
          <w:p w14:paraId="28EF7DFB" w14:textId="77777777" w:rsidR="00CF2859" w:rsidRPr="00AE18A7" w:rsidRDefault="00AE3F9E">
            <w:pPr>
              <w:rPr>
                <w:rFonts w:ascii="Calibri" w:hAnsi="Calibri" w:cs="Calibri"/>
              </w:rPr>
            </w:pPr>
            <w:r w:rsidRPr="00AE18A7">
              <w:rPr>
                <w:rFonts w:ascii="Calibri" w:hAnsi="Calibri" w:cs="Calibri"/>
                <w:b/>
                <w:bCs/>
                <w:color w:val="FFFFFF"/>
                <w:sz w:val="17"/>
                <w:szCs w:val="17"/>
              </w:rPr>
              <w:t>Implementation</w:t>
            </w:r>
          </w:p>
        </w:tc>
      </w:tr>
      <w:tr w:rsidR="00CF2859" w:rsidRPr="00AE18A7" w14:paraId="28EF7DFF" w14:textId="77777777">
        <w:tc>
          <w:tcPr>
            <w:tcW w:w="30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DFD" w14:textId="1B55803D" w:rsidR="00CF2859" w:rsidRPr="00AE18A7" w:rsidRDefault="00AE3F9E">
            <w:pPr>
              <w:spacing w:line="260" w:lineRule="auto"/>
              <w:rPr>
                <w:rFonts w:ascii="Calibri" w:hAnsi="Calibri" w:cs="Calibri"/>
              </w:rPr>
            </w:pPr>
            <w:r w:rsidRPr="00AE18A7">
              <w:rPr>
                <w:rFonts w:ascii="Calibri" w:hAnsi="Calibri" w:cs="Calibri"/>
                <w:color w:val="444444"/>
                <w:sz w:val="17"/>
                <w:szCs w:val="17"/>
              </w:rPr>
              <w:t>Active confirmation not passive approval</w:t>
            </w:r>
          </w:p>
        </w:tc>
        <w:tc>
          <w:tcPr>
            <w:tcW w:w="6072"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DFE" w14:textId="44CB2375" w:rsidR="00CF2859" w:rsidRPr="00AE18A7" w:rsidRDefault="00AE3F9E">
            <w:pPr>
              <w:spacing w:line="260" w:lineRule="auto"/>
              <w:rPr>
                <w:rFonts w:ascii="Calibri" w:hAnsi="Calibri" w:cs="Calibri"/>
              </w:rPr>
            </w:pPr>
            <w:r w:rsidRPr="00AE18A7">
              <w:rPr>
                <w:rFonts w:ascii="Calibri" w:hAnsi="Calibri" w:cs="Calibri"/>
                <w:color w:val="444444"/>
                <w:sz w:val="17"/>
                <w:szCs w:val="17"/>
              </w:rPr>
              <w:t>Authoriser states the target identification actively text or voice entry required. Not a confirmation click.</w:t>
            </w:r>
          </w:p>
        </w:tc>
      </w:tr>
      <w:tr w:rsidR="00CF2859" w:rsidRPr="00AE18A7" w14:paraId="28EF7E02"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E00"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Sequential compound assessment with mandatory dwell time</w:t>
            </w:r>
          </w:p>
        </w:tc>
        <w:tc>
          <w:tcPr>
            <w:tcW w:w="607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E01" w14:textId="10A91AC8" w:rsidR="00CF2859" w:rsidRPr="00AE18A7" w:rsidRDefault="00AE3F9E">
            <w:pPr>
              <w:spacing w:line="260" w:lineRule="auto"/>
              <w:rPr>
                <w:rFonts w:ascii="Calibri" w:hAnsi="Calibri" w:cs="Calibri"/>
              </w:rPr>
            </w:pPr>
            <w:r w:rsidRPr="00AE18A7">
              <w:rPr>
                <w:rFonts w:ascii="Calibri" w:hAnsi="Calibri" w:cs="Calibri"/>
                <w:color w:val="444444"/>
                <w:sz w:val="17"/>
                <w:szCs w:val="17"/>
              </w:rPr>
              <w:t>'Next' disabled for minimum period based on comprehension time. Dwell time logged below-minimum times flagged in audit.</w:t>
            </w:r>
          </w:p>
        </w:tc>
      </w:tr>
      <w:tr w:rsidR="00CF2859" w:rsidRPr="00AE18A7" w14:paraId="28EF7E05" w14:textId="77777777">
        <w:tc>
          <w:tcPr>
            <w:tcW w:w="30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E03"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Explicit Known Unknown acknowledgement</w:t>
            </w:r>
          </w:p>
        </w:tc>
        <w:tc>
          <w:tcPr>
            <w:tcW w:w="6072"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E04"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Each Known Unknown responded to individually: acknowledged, changes assessment, or unable to assess.</w:t>
            </w:r>
          </w:p>
        </w:tc>
      </w:tr>
      <w:tr w:rsidR="00CF2859" w:rsidRPr="00AE18A7" w14:paraId="28EF7E08"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E06"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Minimum deliberation time monitoring</w:t>
            </w:r>
          </w:p>
        </w:tc>
        <w:tc>
          <w:tcPr>
            <w:tcW w:w="607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E07"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Below-minimum time between presentation and authorisation triggers mandatory review flag.</w:t>
            </w:r>
          </w:p>
        </w:tc>
      </w:tr>
      <w:tr w:rsidR="00CF2859" w:rsidRPr="00AE18A7" w14:paraId="28EF7E0B" w14:textId="77777777">
        <w:tc>
          <w:tcPr>
            <w:tcW w:w="30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E09"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Dissent recording</w:t>
            </w:r>
          </w:p>
        </w:tc>
        <w:tc>
          <w:tcPr>
            <w:tcW w:w="6072"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E0A"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Dedicated dissent button. Record immutable. Cannot be removed by any command authority.</w:t>
            </w:r>
          </w:p>
        </w:tc>
      </w:tr>
      <w:tr w:rsidR="00CF2859" w:rsidRPr="00AE18A7" w14:paraId="28EF7E0E"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E0C"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Legal advisor independence</w:t>
            </w:r>
          </w:p>
        </w:tc>
        <w:tc>
          <w:tcPr>
            <w:tcW w:w="607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E0D" w14:textId="248473D5" w:rsidR="00CF2859" w:rsidRPr="00AE18A7" w:rsidRDefault="00AE3F9E">
            <w:pPr>
              <w:spacing w:line="260" w:lineRule="auto"/>
              <w:rPr>
                <w:rFonts w:ascii="Calibri" w:hAnsi="Calibri" w:cs="Calibri"/>
              </w:rPr>
            </w:pPr>
            <w:r w:rsidRPr="00AE18A7">
              <w:rPr>
                <w:rFonts w:ascii="Calibri" w:hAnsi="Calibri" w:cs="Calibri"/>
                <w:color w:val="444444"/>
                <w:sz w:val="17"/>
                <w:szCs w:val="17"/>
              </w:rPr>
              <w:t>Legal advisor screen shows no tactical commander assessment. Legal block is final no escalation pathway.</w:t>
            </w:r>
          </w:p>
        </w:tc>
      </w:tr>
    </w:tbl>
    <w:p w14:paraId="28EF7E0F" w14:textId="77777777" w:rsidR="00CF2859" w:rsidRPr="00AE18A7" w:rsidRDefault="00CF2859">
      <w:pPr>
        <w:spacing w:before="60"/>
        <w:rPr>
          <w:rFonts w:ascii="Calibri" w:hAnsi="Calibri" w:cs="Calibri"/>
        </w:rPr>
      </w:pPr>
    </w:p>
    <w:p w14:paraId="28EF7E10" w14:textId="77777777" w:rsidR="00CF2859" w:rsidRPr="00AE18A7" w:rsidRDefault="00AE3F9E" w:rsidP="0071202F">
      <w:pPr>
        <w:pStyle w:val="Heading20"/>
      </w:pPr>
      <w:bookmarkStart w:id="21" w:name="_Toc229741686"/>
      <w:r w:rsidRPr="00AE18A7">
        <w:t>9.3 Approval Token Architecture</w:t>
      </w:r>
      <w:bookmarkEnd w:id="21"/>
    </w:p>
    <w:p w14:paraId="28EF7E11" w14:textId="77777777" w:rsidR="00CF2859" w:rsidRPr="00AE18A7" w:rsidRDefault="00AE3F9E">
      <w:pPr>
        <w:spacing w:before="80" w:line="276" w:lineRule="auto"/>
        <w:rPr>
          <w:rFonts w:ascii="Calibri" w:hAnsi="Calibri" w:cs="Calibri"/>
        </w:rPr>
      </w:pPr>
      <w:r w:rsidRPr="00AE18A7">
        <w:rPr>
          <w:rFonts w:ascii="Calibri" w:hAnsi="Calibri" w:cs="Calibri"/>
        </w:rPr>
        <w:t>The three-authoriser requirement is enforced by threshold cryptography (Shamir's Secret Sharing applied to the signing key). Three partial key shares from three distinct authoriser roles are mathematically required to produce a valid signature. Two authorisers cannot produce a complete signature regardless of their rank or authority. Approval tokens are time-limited (15 minutes for Tier L3) and cryptographically bound to a specific recommendation instance. An expired token requires a complete new authorisation cycle including a full Layer 0 reassessment.</w:t>
      </w:r>
    </w:p>
    <w:p w14:paraId="28EF7E12" w14:textId="77777777" w:rsidR="00CF2859" w:rsidRPr="00AE18A7" w:rsidRDefault="00CF2859">
      <w:pPr>
        <w:spacing w:before="80"/>
        <w:rPr>
          <w:rFonts w:ascii="Calibri" w:hAnsi="Calibri" w:cs="Calibri"/>
        </w:rPr>
      </w:pPr>
    </w:p>
    <w:p w14:paraId="28EF7E13" w14:textId="77777777" w:rsidR="00CF2859" w:rsidRPr="00AE18A7" w:rsidRDefault="00AE3F9E" w:rsidP="0071202F">
      <w:pPr>
        <w:pStyle w:val="Heading10"/>
      </w:pPr>
      <w:bookmarkStart w:id="22" w:name="_Toc229741687"/>
      <w:r w:rsidRPr="00AE18A7">
        <w:lastRenderedPageBreak/>
        <w:t>10. Layer 4: Immutable Audit and Accountability</w:t>
      </w:r>
      <w:bookmarkEnd w:id="22"/>
    </w:p>
    <w:p w14:paraId="28EF7E14" w14:textId="2B545AEB" w:rsidR="00CF2859" w:rsidRPr="00AE18A7" w:rsidRDefault="00AE3F9E">
      <w:pPr>
        <w:spacing w:before="80" w:line="276" w:lineRule="auto"/>
        <w:rPr>
          <w:rFonts w:ascii="Calibri" w:hAnsi="Calibri" w:cs="Calibri"/>
          <w:lang w:val="en-GB"/>
        </w:rPr>
      </w:pPr>
      <w:r w:rsidRPr="00AE18A7">
        <w:rPr>
          <w:rFonts w:ascii="Calibri" w:hAnsi="Calibri" w:cs="Calibri"/>
        </w:rPr>
        <w:t>Layer 4 directly addresses GAP-05. Every recommendation that reaches Layer 3 regardless of whether it is ultimately authorised and executed produces an immutable pre-action audit record. The record is cryptographically chained: modification of any historical record changes its hash, which invalidates every subsequent record's chain reference. Tampering is mathematically detectable.</w:t>
      </w:r>
    </w:p>
    <w:p w14:paraId="0E14536F" w14:textId="77777777" w:rsidR="0071202F" w:rsidRPr="00AE18A7" w:rsidRDefault="0071202F">
      <w:pPr>
        <w:spacing w:before="80" w:line="276" w:lineRule="auto"/>
        <w:rPr>
          <w:rFonts w:ascii="Calibri" w:hAnsi="Calibri" w:cs="Calibri"/>
          <w:lang w:val="en-GB"/>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472"/>
      </w:tblGrid>
      <w:tr w:rsidR="00CF2859" w:rsidRPr="00AE18A7" w14:paraId="28EF7E17" w14:textId="77777777">
        <w:trPr>
          <w:tblHeader/>
        </w:trPr>
        <w:tc>
          <w:tcPr>
            <w:tcW w:w="3600" w:type="dxa"/>
            <w:tcBorders>
              <w:top w:val="single" w:sz="1" w:space="0" w:color="1A1A1A"/>
              <w:left w:val="single" w:sz="1" w:space="0" w:color="1A1A1A"/>
              <w:bottom w:val="single" w:sz="1" w:space="0" w:color="1A1A1A"/>
              <w:right w:val="single" w:sz="1" w:space="0" w:color="1A1A1A"/>
            </w:tcBorders>
            <w:shd w:val="clear" w:color="auto" w:fill="1A1A1A"/>
            <w:tcMar>
              <w:top w:w="60" w:type="dxa"/>
              <w:left w:w="100" w:type="dxa"/>
              <w:bottom w:w="60" w:type="dxa"/>
              <w:right w:w="100" w:type="dxa"/>
            </w:tcMar>
          </w:tcPr>
          <w:p w14:paraId="28EF7E15" w14:textId="77777777" w:rsidR="00CF2859" w:rsidRPr="00AE18A7" w:rsidRDefault="00AE3F9E">
            <w:pPr>
              <w:rPr>
                <w:rFonts w:ascii="Calibri" w:hAnsi="Calibri" w:cs="Calibri"/>
              </w:rPr>
            </w:pPr>
            <w:r w:rsidRPr="00AE18A7">
              <w:rPr>
                <w:rFonts w:ascii="Calibri" w:hAnsi="Calibri" w:cs="Calibri"/>
                <w:b/>
                <w:bCs/>
                <w:color w:val="FFFFFF"/>
                <w:sz w:val="17"/>
                <w:szCs w:val="17"/>
              </w:rPr>
              <w:t>Review Component</w:t>
            </w:r>
          </w:p>
        </w:tc>
        <w:tc>
          <w:tcPr>
            <w:tcW w:w="5472" w:type="dxa"/>
            <w:tcBorders>
              <w:top w:val="single" w:sz="1" w:space="0" w:color="1A1A1A"/>
              <w:left w:val="single" w:sz="1" w:space="0" w:color="1A1A1A"/>
              <w:bottom w:val="single" w:sz="1" w:space="0" w:color="1A1A1A"/>
              <w:right w:val="single" w:sz="1" w:space="0" w:color="1A1A1A"/>
            </w:tcBorders>
            <w:shd w:val="clear" w:color="auto" w:fill="1A1A1A"/>
            <w:tcMar>
              <w:top w:w="60" w:type="dxa"/>
              <w:left w:w="100" w:type="dxa"/>
              <w:bottom w:w="60" w:type="dxa"/>
              <w:right w:w="100" w:type="dxa"/>
            </w:tcMar>
          </w:tcPr>
          <w:p w14:paraId="28EF7E16" w14:textId="77777777" w:rsidR="00CF2859" w:rsidRPr="00AE18A7" w:rsidRDefault="00AE3F9E">
            <w:pPr>
              <w:rPr>
                <w:rFonts w:ascii="Calibri" w:hAnsi="Calibri" w:cs="Calibri"/>
              </w:rPr>
            </w:pPr>
            <w:r w:rsidRPr="00AE18A7">
              <w:rPr>
                <w:rFonts w:ascii="Calibri" w:hAnsi="Calibri" w:cs="Calibri"/>
                <w:b/>
                <w:bCs/>
                <w:color w:val="FFFFFF"/>
                <w:sz w:val="17"/>
                <w:szCs w:val="17"/>
              </w:rPr>
              <w:t>Discrepancy Trigger</w:t>
            </w:r>
          </w:p>
        </w:tc>
      </w:tr>
      <w:tr w:rsidR="00CF2859" w:rsidRPr="00AE18A7" w14:paraId="28EF7E1A" w14:textId="77777777">
        <w:tc>
          <w:tcPr>
            <w:tcW w:w="36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E18"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Target identity verification against pre-action TIC assessment</w:t>
            </w:r>
          </w:p>
        </w:tc>
        <w:tc>
          <w:tcPr>
            <w:tcW w:w="5472"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E19"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Any discrepancy → mandatory investigation AND suspension of AI recommendation capability pending review</w:t>
            </w:r>
          </w:p>
        </w:tc>
      </w:tr>
      <w:tr w:rsidR="00CF2859" w:rsidRPr="00AE18A7" w14:paraId="28EF7E1D" w14:textId="77777777">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E1B" w14:textId="4B06DDA5" w:rsidR="00CF2859" w:rsidRPr="00AE18A7" w:rsidRDefault="00AE3F9E">
            <w:pPr>
              <w:spacing w:line="260" w:lineRule="auto"/>
              <w:rPr>
                <w:rFonts w:ascii="Calibri" w:hAnsi="Calibri" w:cs="Calibri"/>
              </w:rPr>
            </w:pPr>
            <w:r w:rsidRPr="00AE18A7">
              <w:rPr>
                <w:rFonts w:ascii="Calibri" w:hAnsi="Calibri" w:cs="Calibri"/>
                <w:color w:val="444444"/>
                <w:sz w:val="17"/>
                <w:szCs w:val="17"/>
              </w:rPr>
              <w:t>TIC score accuracy predictive validity assessment</w:t>
            </w:r>
          </w:p>
        </w:tc>
        <w:tc>
          <w:tcPr>
            <w:tcW w:w="547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E1C"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Pattern of TIC &gt;80 where post-action identity incorrect → systematic model review</w:t>
            </w:r>
          </w:p>
        </w:tc>
      </w:tr>
      <w:tr w:rsidR="00CF2859" w:rsidRPr="00AE18A7" w14:paraId="28EF7E20" w14:textId="77777777">
        <w:tc>
          <w:tcPr>
            <w:tcW w:w="36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E1E" w14:textId="6971A7D7" w:rsidR="00CF2859" w:rsidRPr="00AE18A7" w:rsidRDefault="00AE3F9E">
            <w:pPr>
              <w:spacing w:line="260" w:lineRule="auto"/>
              <w:rPr>
                <w:rFonts w:ascii="Calibri" w:hAnsi="Calibri" w:cs="Calibri"/>
              </w:rPr>
            </w:pPr>
            <w:r w:rsidRPr="00AE18A7">
              <w:rPr>
                <w:rFonts w:ascii="Calibri" w:hAnsi="Calibri" w:cs="Calibri"/>
                <w:color w:val="444444"/>
                <w:sz w:val="17"/>
                <w:szCs w:val="17"/>
              </w:rPr>
              <w:t>CDE accuracy anticipated vs. actual collateral damage</w:t>
            </w:r>
          </w:p>
        </w:tc>
        <w:tc>
          <w:tcPr>
            <w:tcW w:w="5472"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E1F"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Any unanticipated civilian casualty → mandatory investigation. Systematic CDE underestimation → suspension.</w:t>
            </w:r>
          </w:p>
        </w:tc>
      </w:tr>
      <w:tr w:rsidR="00CF2859" w:rsidRPr="00AE18A7" w14:paraId="28EF7E23" w14:textId="77777777">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E21"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Proportionality reassessment with actual effects knowledge</w:t>
            </w:r>
          </w:p>
        </w:tc>
        <w:tc>
          <w:tcPr>
            <w:tcW w:w="547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E22"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Actual effects disproportionate → mandatory legal review</w:t>
            </w:r>
          </w:p>
        </w:tc>
      </w:tr>
    </w:tbl>
    <w:p w14:paraId="28EF7E24" w14:textId="77777777" w:rsidR="00CF2859" w:rsidRPr="00AE18A7" w:rsidRDefault="00CF2859">
      <w:pPr>
        <w:spacing w:before="40"/>
        <w:rPr>
          <w:rFonts w:ascii="Calibri" w:hAnsi="Calibri" w:cs="Calibri"/>
        </w:rPr>
      </w:pPr>
    </w:p>
    <w:p w14:paraId="28EF7E25" w14:textId="77777777" w:rsidR="00CF2859" w:rsidRPr="00AE18A7" w:rsidRDefault="00AE3F9E">
      <w:pPr>
        <w:spacing w:before="80" w:line="276" w:lineRule="auto"/>
        <w:rPr>
          <w:rFonts w:ascii="Calibri" w:hAnsi="Calibri" w:cs="Calibri"/>
        </w:rPr>
      </w:pPr>
      <w:r w:rsidRPr="00AE18A7">
        <w:rPr>
          <w:rFonts w:ascii="Calibri" w:hAnsi="Calibri" w:cs="Calibri"/>
        </w:rPr>
        <w:t>The audit trail is maintained for a minimum of twenty years on write-once or equivalently tamper-evident storage. Destruction or modification must be technically prevented where feasible and treated as a serious legal, disciplinary, and accountability breach under applicable law. The record should be maintained in a form suitable for military justice proceedings, ICC investigations, UN fact-finding missions, parliamentary oversight processes, or other competent accountability mechanisms, subject to the applicable legal mandate.</w:t>
      </w:r>
    </w:p>
    <w:p w14:paraId="28EF7E26" w14:textId="77777777" w:rsidR="00CF2859" w:rsidRPr="00AE18A7" w:rsidRDefault="00CF2859">
      <w:pPr>
        <w:spacing w:before="80"/>
        <w:rPr>
          <w:rFonts w:ascii="Calibri" w:hAnsi="Calibri" w:cs="Calibri"/>
        </w:rPr>
      </w:pPr>
    </w:p>
    <w:p w14:paraId="28EF7E27" w14:textId="77777777" w:rsidR="00CF2859" w:rsidRPr="00AE18A7" w:rsidRDefault="00AE3F9E" w:rsidP="0071202F">
      <w:pPr>
        <w:pStyle w:val="Heading10"/>
      </w:pPr>
      <w:bookmarkStart w:id="23" w:name="_Toc229741688"/>
      <w:r w:rsidRPr="00AE18A7">
        <w:t>11. What This Framework Cannot Do</w:t>
      </w:r>
      <w:bookmarkEnd w:id="23"/>
    </w:p>
    <w:p w14:paraId="28EF7E28" w14:textId="77777777" w:rsidR="00CF2859" w:rsidRPr="00AE18A7" w:rsidRDefault="00AE3F9E">
      <w:pPr>
        <w:spacing w:before="80" w:line="276" w:lineRule="auto"/>
        <w:rPr>
          <w:rFonts w:ascii="Calibri" w:hAnsi="Calibri" w:cs="Calibri"/>
        </w:rPr>
      </w:pPr>
      <w:r w:rsidRPr="00AE18A7">
        <w:rPr>
          <w:rFonts w:ascii="Calibri" w:hAnsi="Calibri" w:cs="Calibri"/>
        </w:rPr>
        <w:t>Intellectual honesty about the limits of governance architecture is a precondition for the framework being taken seriously.</w:t>
      </w:r>
    </w:p>
    <w:p w14:paraId="28EF7E29" w14:textId="77777777" w:rsidR="00CF2859" w:rsidRPr="00AE18A7" w:rsidRDefault="00CF2859">
      <w:pPr>
        <w:spacing w:before="40"/>
        <w:rPr>
          <w:rFonts w:ascii="Calibri" w:hAnsi="Calibri" w:cs="Calibri"/>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72"/>
      </w:tblGrid>
      <w:tr w:rsidR="00CF2859" w:rsidRPr="00AE18A7" w14:paraId="28EF7E2C" w14:textId="77777777">
        <w:trPr>
          <w:tblHeader/>
        </w:trPr>
        <w:tc>
          <w:tcPr>
            <w:tcW w:w="2800" w:type="dxa"/>
            <w:tcBorders>
              <w:top w:val="single" w:sz="1" w:space="0" w:color="1A1A1A"/>
              <w:left w:val="single" w:sz="1" w:space="0" w:color="1A1A1A"/>
              <w:bottom w:val="single" w:sz="1" w:space="0" w:color="1A1A1A"/>
              <w:right w:val="single" w:sz="1" w:space="0" w:color="1A1A1A"/>
            </w:tcBorders>
            <w:shd w:val="clear" w:color="auto" w:fill="1A1A1A"/>
            <w:tcMar>
              <w:top w:w="60" w:type="dxa"/>
              <w:left w:w="100" w:type="dxa"/>
              <w:bottom w:w="60" w:type="dxa"/>
              <w:right w:w="100" w:type="dxa"/>
            </w:tcMar>
          </w:tcPr>
          <w:p w14:paraId="28EF7E2A" w14:textId="77777777" w:rsidR="00CF2859" w:rsidRPr="00AE18A7" w:rsidRDefault="00AE3F9E">
            <w:pPr>
              <w:rPr>
                <w:rFonts w:ascii="Calibri" w:hAnsi="Calibri" w:cs="Calibri"/>
              </w:rPr>
            </w:pPr>
            <w:r w:rsidRPr="00AE18A7">
              <w:rPr>
                <w:rFonts w:ascii="Calibri" w:hAnsi="Calibri" w:cs="Calibri"/>
                <w:b/>
                <w:bCs/>
                <w:color w:val="FFFFFF"/>
                <w:sz w:val="17"/>
                <w:szCs w:val="17"/>
              </w:rPr>
              <w:t>Limitation</w:t>
            </w:r>
          </w:p>
        </w:tc>
        <w:tc>
          <w:tcPr>
            <w:tcW w:w="6272" w:type="dxa"/>
            <w:tcBorders>
              <w:top w:val="single" w:sz="1" w:space="0" w:color="1A1A1A"/>
              <w:left w:val="single" w:sz="1" w:space="0" w:color="1A1A1A"/>
              <w:bottom w:val="single" w:sz="1" w:space="0" w:color="1A1A1A"/>
              <w:right w:val="single" w:sz="1" w:space="0" w:color="1A1A1A"/>
            </w:tcBorders>
            <w:shd w:val="clear" w:color="auto" w:fill="1A1A1A"/>
            <w:tcMar>
              <w:top w:w="60" w:type="dxa"/>
              <w:left w:w="100" w:type="dxa"/>
              <w:bottom w:w="60" w:type="dxa"/>
              <w:right w:w="100" w:type="dxa"/>
            </w:tcMar>
          </w:tcPr>
          <w:p w14:paraId="28EF7E2B" w14:textId="77777777" w:rsidR="00CF2859" w:rsidRPr="00AE18A7" w:rsidRDefault="00AE3F9E">
            <w:pPr>
              <w:rPr>
                <w:rFonts w:ascii="Calibri" w:hAnsi="Calibri" w:cs="Calibri"/>
              </w:rPr>
            </w:pPr>
            <w:r w:rsidRPr="00AE18A7">
              <w:rPr>
                <w:rFonts w:ascii="Calibri" w:hAnsi="Calibri" w:cs="Calibri"/>
                <w:b/>
                <w:bCs/>
                <w:color w:val="FFFFFF"/>
                <w:sz w:val="17"/>
                <w:szCs w:val="17"/>
              </w:rPr>
              <w:t>Explanation</w:t>
            </w:r>
          </w:p>
        </w:tc>
      </w:tr>
      <w:tr w:rsidR="00CF2859" w:rsidRPr="00AE18A7" w14:paraId="28EF7E2F" w14:textId="77777777">
        <w:tc>
          <w:tcPr>
            <w:tcW w:w="28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E2D"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Cannot make war ethical</w:t>
            </w:r>
          </w:p>
        </w:tc>
        <w:tc>
          <w:tcPr>
            <w:tcW w:w="6272"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E2E"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This framework constrains AI involvement. It cannot make war itself ethical. Atrocity can occur with perfect governance architecture if the human decisions at its centre are wrong.</w:t>
            </w:r>
          </w:p>
        </w:tc>
      </w:tr>
      <w:tr w:rsidR="00CF2859" w:rsidRPr="00AE18A7" w14:paraId="28EF7E32"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E30"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Cannot prevent automation bias completely</w:t>
            </w:r>
          </w:p>
        </w:tc>
        <w:tc>
          <w:tcPr>
            <w:tcW w:w="627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E31"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The cognitive confirmation requirements reduce automation bias. Under sustained stress, information overload, or institutional pressure, humans will still tend to follow AI recommendations.</w:t>
            </w:r>
          </w:p>
        </w:tc>
      </w:tr>
      <w:tr w:rsidR="00CF2859" w:rsidRPr="00AE18A7" w14:paraId="28EF7E35" w14:textId="77777777">
        <w:tc>
          <w:tcPr>
            <w:tcW w:w="28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E33"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Cannot resolve contested IHL questions</w:t>
            </w:r>
          </w:p>
        </w:tc>
        <w:tc>
          <w:tcPr>
            <w:tcW w:w="6272"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E34" w14:textId="60B8C8FC" w:rsidR="00CF2859" w:rsidRPr="00AE18A7" w:rsidRDefault="00AE3F9E">
            <w:pPr>
              <w:spacing w:line="260" w:lineRule="auto"/>
              <w:rPr>
                <w:rFonts w:ascii="Calibri" w:hAnsi="Calibri" w:cs="Calibri"/>
              </w:rPr>
            </w:pPr>
            <w:r w:rsidRPr="00AE18A7">
              <w:rPr>
                <w:rFonts w:ascii="Calibri" w:hAnsi="Calibri" w:cs="Calibri"/>
                <w:color w:val="444444"/>
                <w:sz w:val="17"/>
                <w:szCs w:val="17"/>
              </w:rPr>
              <w:t>Where IHL itself is contested novel operational contexts, new weapon types, hybrid warfare the LCA cannot provide definitive answers. Legal uncertainty remains.</w:t>
            </w:r>
          </w:p>
        </w:tc>
      </w:tr>
      <w:tr w:rsidR="00CF2859" w:rsidRPr="00AE18A7" w14:paraId="28EF7E38"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E36"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Cannot guarantee correct calibration</w:t>
            </w:r>
          </w:p>
        </w:tc>
        <w:tc>
          <w:tcPr>
            <w:tcW w:w="627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E37"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The confidence thresholds assume correctly calibrated models. Achieving correct calibration in adversarial, data-sparse environments is a research problem this framework presupposes but does not solve.</w:t>
            </w:r>
          </w:p>
        </w:tc>
      </w:tr>
      <w:tr w:rsidR="00CF2859" w:rsidRPr="00AE18A7" w14:paraId="28EF7E3B" w14:textId="77777777">
        <w:tc>
          <w:tcPr>
            <w:tcW w:w="28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E39"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Cannot enforce political accountability</w:t>
            </w:r>
          </w:p>
        </w:tc>
        <w:tc>
          <w:tcPr>
            <w:tcW w:w="6272"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E3A"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The framework creates an audit trail. It cannot compel states to use accountability mechanisms or substitute for political will.</w:t>
            </w:r>
          </w:p>
        </w:tc>
      </w:tr>
      <w:tr w:rsidR="00CF2859" w:rsidRPr="00AE18A7" w14:paraId="28EF7E3E"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E3C"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Cannot address fully autonomous systems</w:t>
            </w:r>
          </w:p>
        </w:tc>
        <w:tc>
          <w:tcPr>
            <w:tcW w:w="627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E3D"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This framework governs AI-assisted lethal decision support. It does not address fully autonomous lethal systems. A separate legally binding prohibition is required.</w:t>
            </w:r>
          </w:p>
        </w:tc>
      </w:tr>
      <w:tr w:rsidR="00CF2859" w:rsidRPr="00AE18A7" w14:paraId="28EF7E41" w14:textId="77777777">
        <w:tc>
          <w:tcPr>
            <w:tcW w:w="28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E3F"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Cannot answer whether AI should be in targeting chains</w:t>
            </w:r>
          </w:p>
        </w:tc>
        <w:tc>
          <w:tcPr>
            <w:tcW w:w="6272"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E40"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This is a normative question that governance architecture cannot resolve.</w:t>
            </w:r>
          </w:p>
        </w:tc>
      </w:tr>
    </w:tbl>
    <w:p w14:paraId="28EF7E42" w14:textId="77777777" w:rsidR="00CF2859" w:rsidRDefault="00CF2859">
      <w:pPr>
        <w:spacing w:before="80"/>
        <w:rPr>
          <w:rFonts w:ascii="Calibri" w:hAnsi="Calibri" w:cs="Calibri"/>
          <w:lang w:val="en-GB"/>
        </w:rPr>
      </w:pPr>
    </w:p>
    <w:p w14:paraId="15B4732A" w14:textId="77777777" w:rsidR="00072E13" w:rsidRDefault="00072E13">
      <w:pPr>
        <w:spacing w:before="80"/>
        <w:rPr>
          <w:rFonts w:ascii="Calibri" w:hAnsi="Calibri" w:cs="Calibri"/>
          <w:lang w:val="en-GB"/>
        </w:rPr>
      </w:pPr>
    </w:p>
    <w:p w14:paraId="59BF289A" w14:textId="77777777" w:rsidR="00072E13" w:rsidRPr="00072E13" w:rsidRDefault="00072E13">
      <w:pPr>
        <w:spacing w:before="80"/>
        <w:rPr>
          <w:rFonts w:ascii="Calibri" w:hAnsi="Calibri" w:cs="Calibri"/>
          <w:lang w:val="en-GB"/>
        </w:rPr>
      </w:pPr>
    </w:p>
    <w:p w14:paraId="28EF7E43" w14:textId="77777777" w:rsidR="00CF2859" w:rsidRPr="00AE18A7" w:rsidRDefault="00AE3F9E" w:rsidP="009F0068">
      <w:pPr>
        <w:pStyle w:val="Heading10"/>
      </w:pPr>
      <w:bookmarkStart w:id="24" w:name="_Toc229741689"/>
      <w:r w:rsidRPr="00AE18A7">
        <w:lastRenderedPageBreak/>
        <w:t>12. Relationship to International Humanitarian Law</w:t>
      </w:r>
      <w:bookmarkEnd w:id="24"/>
    </w:p>
    <w:p w14:paraId="28EF7E44" w14:textId="77777777" w:rsidR="00CF2859" w:rsidRPr="00AE18A7" w:rsidRDefault="00AE3F9E">
      <w:pPr>
        <w:spacing w:before="80" w:line="276" w:lineRule="auto"/>
        <w:rPr>
          <w:rFonts w:ascii="Calibri" w:hAnsi="Calibri" w:cs="Calibri"/>
        </w:rPr>
      </w:pPr>
      <w:r w:rsidRPr="00AE18A7">
        <w:rPr>
          <w:rFonts w:ascii="Calibri" w:hAnsi="Calibri" w:cs="Calibri"/>
        </w:rPr>
        <w:t>EAAP-LGF is designed to be consistent with established sources of international humanitarian law. This section provides a systematic mapping of the framework's requirements to their IHL legal basis. It does not constitute legal advice, a legal opinion, or an assertion that any specific system complies with IHL. All deployment, testing, and policy use must be validated by qualified IHL counsel in the relevant jurisdiction and operational context.</w:t>
      </w:r>
    </w:p>
    <w:p w14:paraId="28EF7E45" w14:textId="77777777" w:rsidR="00CF2859" w:rsidRPr="00AE18A7" w:rsidRDefault="00CF2859">
      <w:pPr>
        <w:spacing w:before="40"/>
        <w:rPr>
          <w:rFonts w:ascii="Calibri" w:hAnsi="Calibri" w:cs="Calibri"/>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72"/>
      </w:tblGrid>
      <w:tr w:rsidR="00CF2859" w:rsidRPr="00AE18A7" w14:paraId="28EF7E48" w14:textId="77777777">
        <w:trPr>
          <w:tblHeader/>
        </w:trPr>
        <w:tc>
          <w:tcPr>
            <w:tcW w:w="2800" w:type="dxa"/>
            <w:tcBorders>
              <w:top w:val="single" w:sz="1" w:space="0" w:color="1A1A1A"/>
              <w:left w:val="single" w:sz="1" w:space="0" w:color="1A1A1A"/>
              <w:bottom w:val="single" w:sz="1" w:space="0" w:color="1A1A1A"/>
              <w:right w:val="single" w:sz="1" w:space="0" w:color="1A1A1A"/>
            </w:tcBorders>
            <w:shd w:val="clear" w:color="auto" w:fill="1A1A1A"/>
            <w:tcMar>
              <w:top w:w="60" w:type="dxa"/>
              <w:left w:w="100" w:type="dxa"/>
              <w:bottom w:w="60" w:type="dxa"/>
              <w:right w:w="100" w:type="dxa"/>
            </w:tcMar>
          </w:tcPr>
          <w:p w14:paraId="28EF7E46" w14:textId="77777777" w:rsidR="00CF2859" w:rsidRPr="00AE18A7" w:rsidRDefault="00AE3F9E">
            <w:pPr>
              <w:rPr>
                <w:rFonts w:ascii="Calibri" w:hAnsi="Calibri" w:cs="Calibri"/>
              </w:rPr>
            </w:pPr>
            <w:r w:rsidRPr="00AE18A7">
              <w:rPr>
                <w:rFonts w:ascii="Calibri" w:hAnsi="Calibri" w:cs="Calibri"/>
                <w:b/>
                <w:bCs/>
                <w:color w:val="FFFFFF"/>
                <w:sz w:val="17"/>
                <w:szCs w:val="17"/>
              </w:rPr>
              <w:t>IHL Source</w:t>
            </w:r>
          </w:p>
        </w:tc>
        <w:tc>
          <w:tcPr>
            <w:tcW w:w="6272" w:type="dxa"/>
            <w:tcBorders>
              <w:top w:val="single" w:sz="1" w:space="0" w:color="1A1A1A"/>
              <w:left w:val="single" w:sz="1" w:space="0" w:color="1A1A1A"/>
              <w:bottom w:val="single" w:sz="1" w:space="0" w:color="1A1A1A"/>
              <w:right w:val="single" w:sz="1" w:space="0" w:color="1A1A1A"/>
            </w:tcBorders>
            <w:shd w:val="clear" w:color="auto" w:fill="1A1A1A"/>
            <w:tcMar>
              <w:top w:w="60" w:type="dxa"/>
              <w:left w:w="100" w:type="dxa"/>
              <w:bottom w:w="60" w:type="dxa"/>
              <w:right w:w="100" w:type="dxa"/>
            </w:tcMar>
          </w:tcPr>
          <w:p w14:paraId="28EF7E47" w14:textId="77777777" w:rsidR="00CF2859" w:rsidRPr="00AE18A7" w:rsidRDefault="00AE3F9E">
            <w:pPr>
              <w:rPr>
                <w:rFonts w:ascii="Calibri" w:hAnsi="Calibri" w:cs="Calibri"/>
              </w:rPr>
            </w:pPr>
            <w:r w:rsidRPr="00AE18A7">
              <w:rPr>
                <w:rFonts w:ascii="Calibri" w:hAnsi="Calibri" w:cs="Calibri"/>
                <w:b/>
                <w:bCs/>
                <w:color w:val="FFFFFF"/>
                <w:sz w:val="17"/>
                <w:szCs w:val="17"/>
              </w:rPr>
              <w:t>Relevance to EAAP-LGF</w:t>
            </w:r>
          </w:p>
        </w:tc>
      </w:tr>
      <w:tr w:rsidR="00CF2859" w:rsidRPr="00AE18A7" w14:paraId="28EF7E4B" w14:textId="77777777">
        <w:tc>
          <w:tcPr>
            <w:tcW w:w="28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E49" w14:textId="77777777" w:rsidR="00CF2859" w:rsidRPr="00B45CCC" w:rsidRDefault="00AE3F9E">
            <w:pPr>
              <w:spacing w:line="260" w:lineRule="auto"/>
              <w:rPr>
                <w:rFonts w:ascii="Calibri" w:hAnsi="Calibri" w:cs="Calibri"/>
                <w:sz w:val="17"/>
                <w:szCs w:val="17"/>
              </w:rPr>
            </w:pPr>
            <w:r w:rsidRPr="00B45CCC">
              <w:rPr>
                <w:rFonts w:ascii="Calibri" w:hAnsi="Calibri" w:cs="Calibri"/>
                <w:color w:val="444444"/>
                <w:sz w:val="17"/>
                <w:szCs w:val="17"/>
              </w:rPr>
              <w:t>Geneva Conventions (1949) and Additional Protocols</w:t>
            </w:r>
          </w:p>
        </w:tc>
        <w:tc>
          <w:tcPr>
            <w:tcW w:w="6272"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E4A" w14:textId="7E8B346C" w:rsidR="00CF2859" w:rsidRPr="00B45CCC" w:rsidRDefault="00AE3F9E">
            <w:pPr>
              <w:spacing w:line="260" w:lineRule="auto"/>
              <w:rPr>
                <w:rFonts w:ascii="Calibri" w:hAnsi="Calibri" w:cs="Calibri"/>
                <w:sz w:val="17"/>
                <w:szCs w:val="17"/>
              </w:rPr>
            </w:pPr>
            <w:r w:rsidRPr="00B45CCC">
              <w:rPr>
                <w:rFonts w:ascii="Calibri" w:hAnsi="Calibri" w:cs="Calibri"/>
                <w:sz w:val="17"/>
                <w:szCs w:val="17"/>
              </w:rPr>
              <w:t xml:space="preserve">Foundation of protected persons and objects in </w:t>
            </w:r>
            <w:r w:rsidR="008C67C1" w:rsidRPr="00B45CCC">
              <w:rPr>
                <w:rFonts w:ascii="Calibri" w:hAnsi="Calibri" w:cs="Calibri"/>
                <w:sz w:val="17"/>
                <w:szCs w:val="17"/>
              </w:rPr>
              <w:t>Layer -1</w:t>
            </w:r>
            <w:r w:rsidRPr="00B45CCC">
              <w:rPr>
                <w:rFonts w:ascii="Calibri" w:hAnsi="Calibri" w:cs="Calibri"/>
                <w:sz w:val="17"/>
                <w:szCs w:val="17"/>
              </w:rPr>
              <w:t>. Principle of distinction. Precautions in attack encoded in Layer 0 Assessment 2.</w:t>
            </w:r>
          </w:p>
        </w:tc>
      </w:tr>
      <w:tr w:rsidR="00CF2859" w:rsidRPr="00AE18A7" w14:paraId="28EF7E4E"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E4C" w14:textId="5D6F9A54" w:rsidR="00CF2859" w:rsidRPr="00B45CCC" w:rsidRDefault="00AE3F9E">
            <w:pPr>
              <w:spacing w:line="260" w:lineRule="auto"/>
              <w:rPr>
                <w:rFonts w:ascii="Calibri" w:hAnsi="Calibri" w:cs="Calibri"/>
                <w:sz w:val="17"/>
                <w:szCs w:val="17"/>
              </w:rPr>
            </w:pPr>
            <w:r w:rsidRPr="00B45CCC">
              <w:rPr>
                <w:rFonts w:ascii="Calibri" w:hAnsi="Calibri" w:cs="Calibri"/>
                <w:sz w:val="17"/>
                <w:szCs w:val="17"/>
              </w:rPr>
              <w:t>AP I Articles 35-42 Basic rules</w:t>
            </w:r>
          </w:p>
        </w:tc>
        <w:tc>
          <w:tcPr>
            <w:tcW w:w="627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E4D" w14:textId="763F1502" w:rsidR="00CF2859" w:rsidRPr="00B45CCC" w:rsidRDefault="00AE3F9E">
            <w:pPr>
              <w:spacing w:line="260" w:lineRule="auto"/>
              <w:rPr>
                <w:rFonts w:ascii="Calibri" w:hAnsi="Calibri" w:cs="Calibri"/>
                <w:sz w:val="17"/>
                <w:szCs w:val="17"/>
              </w:rPr>
            </w:pPr>
            <w:r w:rsidRPr="00B45CCC">
              <w:rPr>
                <w:rFonts w:ascii="Calibri" w:hAnsi="Calibri" w:cs="Calibri"/>
                <w:sz w:val="17"/>
                <w:szCs w:val="17"/>
              </w:rPr>
              <w:t>Prohibition of weapons causing superfluous injury (</w:t>
            </w:r>
            <w:r w:rsidR="008C67C1" w:rsidRPr="00B45CCC">
              <w:rPr>
                <w:rFonts w:ascii="Calibri" w:hAnsi="Calibri" w:cs="Calibri"/>
                <w:sz w:val="17"/>
                <w:szCs w:val="17"/>
              </w:rPr>
              <w:t>Layer -1</w:t>
            </w:r>
            <w:r w:rsidRPr="00B45CCC">
              <w:rPr>
                <w:rFonts w:ascii="Calibri" w:hAnsi="Calibri" w:cs="Calibri"/>
                <w:sz w:val="17"/>
                <w:szCs w:val="17"/>
              </w:rPr>
              <w:t>). Prohibition of indiscriminate attacks (</w:t>
            </w:r>
            <w:r w:rsidR="008C67C1" w:rsidRPr="00B45CCC">
              <w:rPr>
                <w:rFonts w:ascii="Calibri" w:hAnsi="Calibri" w:cs="Calibri"/>
                <w:sz w:val="17"/>
                <w:szCs w:val="17"/>
              </w:rPr>
              <w:t>Layer -1</w:t>
            </w:r>
            <w:r w:rsidRPr="00B45CCC">
              <w:rPr>
                <w:rFonts w:ascii="Calibri" w:hAnsi="Calibri" w:cs="Calibri"/>
                <w:sz w:val="17"/>
                <w:szCs w:val="17"/>
              </w:rPr>
              <w:t xml:space="preserve"> and Layer 0 LCA). Definition of military objectives (Layer 0 Assessment 2).</w:t>
            </w:r>
          </w:p>
        </w:tc>
      </w:tr>
      <w:tr w:rsidR="00CF2859" w:rsidRPr="00AE18A7" w14:paraId="28EF7E51" w14:textId="77777777">
        <w:tc>
          <w:tcPr>
            <w:tcW w:w="28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E4F" w14:textId="65EA5972" w:rsidR="00CF2859" w:rsidRPr="00B45CCC" w:rsidRDefault="00AE3F9E">
            <w:pPr>
              <w:spacing w:line="260" w:lineRule="auto"/>
              <w:rPr>
                <w:rFonts w:ascii="Calibri" w:hAnsi="Calibri" w:cs="Calibri"/>
                <w:sz w:val="17"/>
                <w:szCs w:val="17"/>
              </w:rPr>
            </w:pPr>
            <w:r w:rsidRPr="00B45CCC">
              <w:rPr>
                <w:rFonts w:ascii="Calibri" w:hAnsi="Calibri" w:cs="Calibri"/>
                <w:color w:val="444444"/>
                <w:sz w:val="17"/>
                <w:szCs w:val="17"/>
              </w:rPr>
              <w:t>AP I Article 51 Protection of civilian population</w:t>
            </w:r>
          </w:p>
        </w:tc>
        <w:tc>
          <w:tcPr>
            <w:tcW w:w="6272"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E50" w14:textId="1A13353C" w:rsidR="00CF2859" w:rsidRPr="00B45CCC" w:rsidRDefault="00AE3F9E">
            <w:pPr>
              <w:spacing w:line="260" w:lineRule="auto"/>
              <w:rPr>
                <w:rFonts w:ascii="Calibri" w:hAnsi="Calibri" w:cs="Calibri"/>
                <w:sz w:val="17"/>
                <w:szCs w:val="17"/>
              </w:rPr>
            </w:pPr>
            <w:r w:rsidRPr="00B45CCC">
              <w:rPr>
                <w:rFonts w:ascii="Calibri" w:hAnsi="Calibri" w:cs="Calibri"/>
                <w:sz w:val="17"/>
                <w:szCs w:val="17"/>
              </w:rPr>
              <w:t>Prohibition of indiscriminate attack (</w:t>
            </w:r>
            <w:r w:rsidR="008C67C1" w:rsidRPr="00B45CCC">
              <w:rPr>
                <w:rFonts w:ascii="Calibri" w:hAnsi="Calibri" w:cs="Calibri"/>
                <w:sz w:val="17"/>
                <w:szCs w:val="17"/>
              </w:rPr>
              <w:t>Layer -1</w:t>
            </w:r>
            <w:r w:rsidRPr="00B45CCC">
              <w:rPr>
                <w:rFonts w:ascii="Calibri" w:hAnsi="Calibri" w:cs="Calibri"/>
                <w:sz w:val="17"/>
                <w:szCs w:val="17"/>
              </w:rPr>
              <w:t>). Prohibition of disproportionate attack (</w:t>
            </w:r>
            <w:r w:rsidR="008C67C1" w:rsidRPr="00B45CCC">
              <w:rPr>
                <w:rFonts w:ascii="Calibri" w:hAnsi="Calibri" w:cs="Calibri"/>
                <w:sz w:val="17"/>
                <w:szCs w:val="17"/>
              </w:rPr>
              <w:t>Layer -1</w:t>
            </w:r>
            <w:r w:rsidRPr="00B45CCC">
              <w:rPr>
                <w:rFonts w:ascii="Calibri" w:hAnsi="Calibri" w:cs="Calibri"/>
                <w:sz w:val="17"/>
                <w:szCs w:val="17"/>
              </w:rPr>
              <w:t xml:space="preserve"> absolute prohibition and Layer 0 proportionality). Basis for asymmetric threshold principle in Layer 1.</w:t>
            </w:r>
          </w:p>
        </w:tc>
      </w:tr>
      <w:tr w:rsidR="00CF2859" w:rsidRPr="00AE18A7" w14:paraId="28EF7E54"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E52" w14:textId="5A5852EA" w:rsidR="00CF2859" w:rsidRPr="00B45CCC" w:rsidRDefault="00AE3F9E">
            <w:pPr>
              <w:spacing w:line="260" w:lineRule="auto"/>
              <w:rPr>
                <w:rFonts w:ascii="Calibri" w:hAnsi="Calibri" w:cs="Calibri"/>
                <w:sz w:val="17"/>
                <w:szCs w:val="17"/>
              </w:rPr>
            </w:pPr>
            <w:r w:rsidRPr="00B45CCC">
              <w:rPr>
                <w:rFonts w:ascii="Calibri" w:hAnsi="Calibri" w:cs="Calibri"/>
                <w:color w:val="444444"/>
                <w:sz w:val="17"/>
                <w:szCs w:val="17"/>
              </w:rPr>
              <w:t>AP I Article 52 General protection of civilian objects</w:t>
            </w:r>
          </w:p>
        </w:tc>
        <w:tc>
          <w:tcPr>
            <w:tcW w:w="627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E53" w14:textId="64ACD196" w:rsidR="00CF2859" w:rsidRPr="00B45CCC" w:rsidRDefault="00AE3F9E">
            <w:pPr>
              <w:spacing w:line="260" w:lineRule="auto"/>
              <w:rPr>
                <w:rFonts w:ascii="Calibri" w:hAnsi="Calibri" w:cs="Calibri"/>
                <w:sz w:val="17"/>
                <w:szCs w:val="17"/>
              </w:rPr>
            </w:pPr>
            <w:r w:rsidRPr="00B45CCC">
              <w:rPr>
                <w:rFonts w:ascii="Calibri" w:hAnsi="Calibri" w:cs="Calibri"/>
                <w:color w:val="444444"/>
                <w:sz w:val="17"/>
                <w:szCs w:val="17"/>
              </w:rPr>
              <w:t>Definition of military objectives by nature, location, purpose, or use primary encoding basis for Layer 0 Assessment 2 LCA. See Appendix B for illustrative LCA criteria.</w:t>
            </w:r>
          </w:p>
        </w:tc>
      </w:tr>
      <w:tr w:rsidR="00CF2859" w:rsidRPr="00AE18A7" w14:paraId="28EF7E57" w14:textId="77777777">
        <w:tc>
          <w:tcPr>
            <w:tcW w:w="28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E55" w14:textId="6EDF84B4" w:rsidR="00CF2859" w:rsidRPr="00B45CCC" w:rsidRDefault="00AE3F9E">
            <w:pPr>
              <w:spacing w:line="260" w:lineRule="auto"/>
              <w:rPr>
                <w:rFonts w:ascii="Calibri" w:hAnsi="Calibri" w:cs="Calibri"/>
                <w:sz w:val="17"/>
                <w:szCs w:val="17"/>
              </w:rPr>
            </w:pPr>
            <w:r w:rsidRPr="00B45CCC">
              <w:rPr>
                <w:rFonts w:ascii="Calibri" w:hAnsi="Calibri" w:cs="Calibri"/>
                <w:color w:val="444444"/>
                <w:sz w:val="17"/>
                <w:szCs w:val="17"/>
              </w:rPr>
              <w:t>AP I Article 57 Precautions in attack</w:t>
            </w:r>
          </w:p>
        </w:tc>
        <w:tc>
          <w:tcPr>
            <w:tcW w:w="6272"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E56" w14:textId="77777777" w:rsidR="00CF2859" w:rsidRPr="00B45CCC" w:rsidRDefault="00AE3F9E">
            <w:pPr>
              <w:spacing w:line="260" w:lineRule="auto"/>
              <w:rPr>
                <w:rFonts w:ascii="Calibri" w:hAnsi="Calibri" w:cs="Calibri"/>
                <w:sz w:val="17"/>
                <w:szCs w:val="17"/>
              </w:rPr>
            </w:pPr>
            <w:r w:rsidRPr="00B45CCC">
              <w:rPr>
                <w:rFonts w:ascii="Calibri" w:hAnsi="Calibri" w:cs="Calibri"/>
                <w:color w:val="444444"/>
                <w:sz w:val="17"/>
                <w:szCs w:val="17"/>
              </w:rPr>
              <w:t>Active duty to take all feasible precautions (Layer 0 Assessment 2). Duty to verify targets (Layer 0 Assessment 1 TIC). Duty to choose means causing least civilian harm. See Appendix B.</w:t>
            </w:r>
          </w:p>
        </w:tc>
      </w:tr>
      <w:tr w:rsidR="00CF2859" w:rsidRPr="00AE18A7" w14:paraId="28EF7E5A"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E58" w14:textId="718CA043" w:rsidR="00CF2859" w:rsidRPr="00B45CCC" w:rsidRDefault="00AE3F9E">
            <w:pPr>
              <w:spacing w:line="260" w:lineRule="auto"/>
              <w:rPr>
                <w:rFonts w:ascii="Calibri" w:hAnsi="Calibri" w:cs="Calibri"/>
                <w:sz w:val="17"/>
                <w:szCs w:val="17"/>
              </w:rPr>
            </w:pPr>
            <w:r w:rsidRPr="00B45CCC">
              <w:rPr>
                <w:rFonts w:ascii="Calibri" w:hAnsi="Calibri" w:cs="Calibri"/>
                <w:color w:val="444444"/>
                <w:sz w:val="17"/>
                <w:szCs w:val="17"/>
              </w:rPr>
              <w:t>AP I Article 36 New means of warfare</w:t>
            </w:r>
          </w:p>
        </w:tc>
        <w:tc>
          <w:tcPr>
            <w:tcW w:w="627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E59" w14:textId="77777777" w:rsidR="00CF2859" w:rsidRPr="00B45CCC" w:rsidRDefault="00AE3F9E">
            <w:pPr>
              <w:spacing w:line="260" w:lineRule="auto"/>
              <w:rPr>
                <w:rFonts w:ascii="Calibri" w:hAnsi="Calibri" w:cs="Calibri"/>
                <w:sz w:val="17"/>
                <w:szCs w:val="17"/>
              </w:rPr>
            </w:pPr>
            <w:r w:rsidRPr="00B45CCC">
              <w:rPr>
                <w:rFonts w:ascii="Calibri" w:hAnsi="Calibri" w:cs="Calibri"/>
                <w:color w:val="444444"/>
                <w:sz w:val="17"/>
                <w:szCs w:val="17"/>
              </w:rPr>
              <w:t>Obligation to review new weapons, means, and methods of warfare for IHL compliance. This provision creates an arguable legal obligation for states deploying AI systems in targeting chains to conduct a governance architecture review of the type specified in this framework.</w:t>
            </w:r>
          </w:p>
        </w:tc>
      </w:tr>
      <w:tr w:rsidR="00CF2859" w:rsidRPr="00AE18A7" w14:paraId="28EF7E5D" w14:textId="77777777">
        <w:tc>
          <w:tcPr>
            <w:tcW w:w="28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E5B" w14:textId="3560E0DF" w:rsidR="00CF2859" w:rsidRPr="00B45CCC" w:rsidRDefault="00AE3F9E">
            <w:pPr>
              <w:spacing w:line="260" w:lineRule="auto"/>
              <w:rPr>
                <w:rFonts w:ascii="Calibri" w:hAnsi="Calibri" w:cs="Calibri"/>
                <w:sz w:val="17"/>
                <w:szCs w:val="17"/>
              </w:rPr>
            </w:pPr>
            <w:r w:rsidRPr="00B45CCC">
              <w:rPr>
                <w:rFonts w:ascii="Calibri" w:hAnsi="Calibri" w:cs="Calibri"/>
                <w:color w:val="444444"/>
                <w:sz w:val="17"/>
                <w:szCs w:val="17"/>
              </w:rPr>
              <w:t>AP I Article 41 Safeguarding hors de combat</w:t>
            </w:r>
          </w:p>
        </w:tc>
        <w:tc>
          <w:tcPr>
            <w:tcW w:w="6272"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E5C" w14:textId="5D2C30D3" w:rsidR="00CF2859" w:rsidRPr="00B45CCC" w:rsidRDefault="00AE3F9E">
            <w:pPr>
              <w:spacing w:line="260" w:lineRule="auto"/>
              <w:rPr>
                <w:rFonts w:ascii="Calibri" w:hAnsi="Calibri" w:cs="Calibri"/>
                <w:sz w:val="17"/>
                <w:szCs w:val="17"/>
              </w:rPr>
            </w:pPr>
            <w:r w:rsidRPr="00B45CCC">
              <w:rPr>
                <w:rFonts w:ascii="Calibri" w:hAnsi="Calibri" w:cs="Calibri"/>
                <w:sz w:val="17"/>
                <w:szCs w:val="17"/>
              </w:rPr>
              <w:t xml:space="preserve">Persons who are hors de combat must not be attacked. Implemented in </w:t>
            </w:r>
            <w:r w:rsidR="008C67C1" w:rsidRPr="00B45CCC">
              <w:rPr>
                <w:rFonts w:ascii="Calibri" w:hAnsi="Calibri" w:cs="Calibri"/>
                <w:sz w:val="17"/>
                <w:szCs w:val="17"/>
              </w:rPr>
              <w:t>Layer -1</w:t>
            </w:r>
            <w:r w:rsidRPr="00B45CCC">
              <w:rPr>
                <w:rFonts w:ascii="Calibri" w:hAnsi="Calibri" w:cs="Calibri"/>
                <w:sz w:val="17"/>
                <w:szCs w:val="17"/>
              </w:rPr>
              <w:t xml:space="preserve"> (absolute prohibition) and Layer 0 Assessment 4 (surrender indicator hard block).</w:t>
            </w:r>
          </w:p>
        </w:tc>
      </w:tr>
      <w:tr w:rsidR="00CF2859" w:rsidRPr="00AE18A7" w14:paraId="28EF7E60"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E5E" w14:textId="77777777" w:rsidR="00CF2859" w:rsidRPr="00B45CCC" w:rsidRDefault="00AE3F9E">
            <w:pPr>
              <w:spacing w:line="260" w:lineRule="auto"/>
              <w:rPr>
                <w:rFonts w:ascii="Calibri" w:hAnsi="Calibri" w:cs="Calibri"/>
                <w:sz w:val="17"/>
                <w:szCs w:val="17"/>
              </w:rPr>
            </w:pPr>
            <w:r w:rsidRPr="00B45CCC">
              <w:rPr>
                <w:rFonts w:ascii="Calibri" w:hAnsi="Calibri" w:cs="Calibri"/>
                <w:color w:val="444444"/>
                <w:sz w:val="17"/>
                <w:szCs w:val="17"/>
              </w:rPr>
              <w:t>Martens Clause (AP I Art. 1(2))</w:t>
            </w:r>
          </w:p>
        </w:tc>
        <w:tc>
          <w:tcPr>
            <w:tcW w:w="627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E5F" w14:textId="77777777" w:rsidR="00CF2859" w:rsidRPr="00B45CCC" w:rsidRDefault="00AE3F9E">
            <w:pPr>
              <w:spacing w:line="260" w:lineRule="auto"/>
              <w:rPr>
                <w:rFonts w:ascii="Calibri" w:hAnsi="Calibri" w:cs="Calibri"/>
                <w:sz w:val="17"/>
                <w:szCs w:val="17"/>
              </w:rPr>
            </w:pPr>
            <w:r w:rsidRPr="00B45CCC">
              <w:rPr>
                <w:rFonts w:ascii="Calibri" w:hAnsi="Calibri" w:cs="Calibri"/>
                <w:color w:val="444444"/>
                <w:sz w:val="17"/>
                <w:szCs w:val="17"/>
              </w:rPr>
              <w:t>In cases not covered by specific treaty provisions, civilians and combatants remain under the protection of customary international law. Relevant to novel AI-generated targeting scenarios not addressed by specific IHL provisions.</w:t>
            </w:r>
          </w:p>
        </w:tc>
      </w:tr>
      <w:tr w:rsidR="00CF2859" w:rsidRPr="00AE18A7" w14:paraId="28EF7E63" w14:textId="77777777">
        <w:tc>
          <w:tcPr>
            <w:tcW w:w="28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E61" w14:textId="77777777" w:rsidR="00CF2859" w:rsidRPr="00B45CCC" w:rsidRDefault="00AE3F9E">
            <w:pPr>
              <w:spacing w:line="260" w:lineRule="auto"/>
              <w:rPr>
                <w:rFonts w:ascii="Calibri" w:hAnsi="Calibri" w:cs="Calibri"/>
                <w:sz w:val="17"/>
                <w:szCs w:val="17"/>
              </w:rPr>
            </w:pPr>
            <w:r w:rsidRPr="00B45CCC">
              <w:rPr>
                <w:rFonts w:ascii="Calibri" w:hAnsi="Calibri" w:cs="Calibri"/>
                <w:color w:val="444444"/>
                <w:sz w:val="17"/>
                <w:szCs w:val="17"/>
              </w:rPr>
              <w:t>CCW Group of Governmental Experts on LAWS</w:t>
            </w:r>
          </w:p>
        </w:tc>
        <w:tc>
          <w:tcPr>
            <w:tcW w:w="6272"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E62" w14:textId="77777777" w:rsidR="00CF2859" w:rsidRPr="00B45CCC" w:rsidRDefault="00AE3F9E">
            <w:pPr>
              <w:spacing w:line="260" w:lineRule="auto"/>
              <w:rPr>
                <w:rFonts w:ascii="Calibri" w:hAnsi="Calibri" w:cs="Calibri"/>
                <w:sz w:val="17"/>
                <w:szCs w:val="17"/>
              </w:rPr>
            </w:pPr>
            <w:r w:rsidRPr="00B45CCC">
              <w:rPr>
                <w:rFonts w:ascii="Calibri" w:hAnsi="Calibri" w:cs="Calibri"/>
                <w:color w:val="444444"/>
                <w:sz w:val="17"/>
                <w:szCs w:val="17"/>
              </w:rPr>
              <w:t>EAAP-LGF's meaningful human control definition is designed to be consistent with the majority CCW GGE position. The five-gap analysis is offered as a technical contribution to the GGE process.</w:t>
            </w:r>
          </w:p>
        </w:tc>
      </w:tr>
      <w:tr w:rsidR="00CF2859" w:rsidRPr="00AE18A7" w14:paraId="28EF7E66"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E64" w14:textId="4758808F" w:rsidR="00CF2859" w:rsidRPr="00B45CCC" w:rsidRDefault="00AE3F9E">
            <w:pPr>
              <w:spacing w:line="260" w:lineRule="auto"/>
              <w:rPr>
                <w:rFonts w:ascii="Calibri" w:hAnsi="Calibri" w:cs="Calibri"/>
                <w:sz w:val="17"/>
                <w:szCs w:val="17"/>
              </w:rPr>
            </w:pPr>
            <w:r w:rsidRPr="00B45CCC">
              <w:rPr>
                <w:rFonts w:ascii="Calibri" w:hAnsi="Calibri" w:cs="Calibri"/>
                <w:color w:val="444444"/>
                <w:sz w:val="17"/>
                <w:szCs w:val="17"/>
              </w:rPr>
              <w:t>Ottawa Treaty (1997) Anti-Personnel Mines</w:t>
            </w:r>
          </w:p>
        </w:tc>
        <w:tc>
          <w:tcPr>
            <w:tcW w:w="627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E65" w14:textId="2BE573B0" w:rsidR="00CF2859" w:rsidRPr="00B45CCC" w:rsidRDefault="00AE3F9E">
            <w:pPr>
              <w:spacing w:line="260" w:lineRule="auto"/>
              <w:rPr>
                <w:rFonts w:ascii="Calibri" w:hAnsi="Calibri" w:cs="Calibri"/>
                <w:sz w:val="17"/>
                <w:szCs w:val="17"/>
              </w:rPr>
            </w:pPr>
            <w:r w:rsidRPr="00B45CCC">
              <w:rPr>
                <w:rFonts w:ascii="Calibri" w:hAnsi="Calibri" w:cs="Calibri"/>
                <w:sz w:val="17"/>
                <w:szCs w:val="17"/>
              </w:rPr>
              <w:t xml:space="preserve">Categorical prohibition. Implemented in </w:t>
            </w:r>
            <w:r w:rsidR="008C67C1" w:rsidRPr="00B45CCC">
              <w:rPr>
                <w:rFonts w:ascii="Calibri" w:hAnsi="Calibri" w:cs="Calibri"/>
                <w:sz w:val="17"/>
                <w:szCs w:val="17"/>
              </w:rPr>
              <w:t>Layer -1</w:t>
            </w:r>
            <w:r w:rsidRPr="00B45CCC">
              <w:rPr>
                <w:rFonts w:ascii="Calibri" w:hAnsi="Calibri" w:cs="Calibri"/>
                <w:sz w:val="17"/>
                <w:szCs w:val="17"/>
              </w:rPr>
              <w:t xml:space="preserve"> prohibited weapons category.</w:t>
            </w:r>
          </w:p>
        </w:tc>
      </w:tr>
      <w:tr w:rsidR="00CF2859" w:rsidRPr="00AE18A7" w14:paraId="28EF7E69" w14:textId="77777777">
        <w:tc>
          <w:tcPr>
            <w:tcW w:w="28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E67" w14:textId="67538B7E" w:rsidR="00CF2859" w:rsidRPr="00B45CCC" w:rsidRDefault="00AE3F9E">
            <w:pPr>
              <w:spacing w:line="260" w:lineRule="auto"/>
              <w:rPr>
                <w:rFonts w:ascii="Calibri" w:hAnsi="Calibri" w:cs="Calibri"/>
                <w:sz w:val="17"/>
                <w:szCs w:val="17"/>
              </w:rPr>
            </w:pPr>
            <w:r w:rsidRPr="00B45CCC">
              <w:rPr>
                <w:rFonts w:ascii="Calibri" w:hAnsi="Calibri" w:cs="Calibri"/>
                <w:color w:val="444444"/>
                <w:sz w:val="17"/>
                <w:szCs w:val="17"/>
              </w:rPr>
              <w:t>Oslo Treaty (2008) Cluster Munitions</w:t>
            </w:r>
          </w:p>
        </w:tc>
        <w:tc>
          <w:tcPr>
            <w:tcW w:w="6272"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E68" w14:textId="724E0239" w:rsidR="00CF2859" w:rsidRPr="00B45CCC" w:rsidRDefault="00AE3F9E">
            <w:pPr>
              <w:spacing w:line="260" w:lineRule="auto"/>
              <w:rPr>
                <w:rFonts w:ascii="Calibri" w:hAnsi="Calibri" w:cs="Calibri"/>
                <w:sz w:val="17"/>
                <w:szCs w:val="17"/>
              </w:rPr>
            </w:pPr>
            <w:r w:rsidRPr="00B45CCC">
              <w:rPr>
                <w:rFonts w:ascii="Calibri" w:hAnsi="Calibri" w:cs="Calibri"/>
                <w:sz w:val="17"/>
                <w:szCs w:val="17"/>
              </w:rPr>
              <w:t xml:space="preserve">Categorical prohibition. Implemented in </w:t>
            </w:r>
            <w:r w:rsidR="008C67C1" w:rsidRPr="00B45CCC">
              <w:rPr>
                <w:rFonts w:ascii="Calibri" w:hAnsi="Calibri" w:cs="Calibri"/>
                <w:sz w:val="17"/>
                <w:szCs w:val="17"/>
              </w:rPr>
              <w:t>Layer -1</w:t>
            </w:r>
            <w:r w:rsidRPr="00B45CCC">
              <w:rPr>
                <w:rFonts w:ascii="Calibri" w:hAnsi="Calibri" w:cs="Calibri"/>
                <w:sz w:val="17"/>
                <w:szCs w:val="17"/>
              </w:rPr>
              <w:t xml:space="preserve"> prohibited weapons category.</w:t>
            </w:r>
          </w:p>
        </w:tc>
      </w:tr>
      <w:tr w:rsidR="00CF2859" w:rsidRPr="00AE18A7" w14:paraId="28EF7E6C"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E6A"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UN Secretary-General's Call for LAWS Prohibition</w:t>
            </w:r>
          </w:p>
        </w:tc>
        <w:tc>
          <w:tcPr>
            <w:tcW w:w="627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E6B"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EAAP-LGF's categorical prohibition on algorithm-only target identification is consistent with the Secretary-General's position on autonomous lethal systems.</w:t>
            </w:r>
          </w:p>
        </w:tc>
      </w:tr>
    </w:tbl>
    <w:p w14:paraId="28EF7E6D" w14:textId="77777777" w:rsidR="00CF2859" w:rsidRPr="00AE18A7" w:rsidRDefault="00CF2859">
      <w:pPr>
        <w:spacing w:before="40"/>
        <w:rPr>
          <w:rFonts w:ascii="Calibri" w:hAnsi="Calibri" w:cs="Calibri"/>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CF2859" w:rsidRPr="00AE18A7" w14:paraId="28EF7E6F" w14:textId="77777777">
        <w:tc>
          <w:tcPr>
            <w:tcW w:w="0" w:type="auto"/>
            <w:tcBorders>
              <w:top w:val="single" w:sz="1" w:space="0" w:color="CCCCCC"/>
              <w:left w:val="single" w:sz="1" w:space="0" w:color="CCCCCC"/>
              <w:bottom w:val="single" w:sz="1" w:space="0" w:color="CCCCCC"/>
              <w:right w:val="single" w:sz="1" w:space="0" w:color="CCCCCC"/>
            </w:tcBorders>
            <w:shd w:val="clear" w:color="auto" w:fill="F7F7F7"/>
            <w:tcMar>
              <w:top w:w="100" w:type="dxa"/>
              <w:left w:w="160" w:type="dxa"/>
              <w:bottom w:w="100" w:type="dxa"/>
              <w:right w:w="160" w:type="dxa"/>
            </w:tcMar>
          </w:tcPr>
          <w:p w14:paraId="28EF7E6E" w14:textId="77777777" w:rsidR="00CF2859" w:rsidRPr="00AE18A7" w:rsidRDefault="00AE3F9E">
            <w:pPr>
              <w:spacing w:line="276" w:lineRule="auto"/>
              <w:rPr>
                <w:rFonts w:ascii="Calibri" w:hAnsi="Calibri" w:cs="Calibri"/>
              </w:rPr>
            </w:pPr>
            <w:r w:rsidRPr="00AE18A7">
              <w:rPr>
                <w:rFonts w:ascii="Calibri" w:hAnsi="Calibri" w:cs="Calibri"/>
                <w:i/>
                <w:iCs/>
                <w:sz w:val="19"/>
                <w:szCs w:val="19"/>
              </w:rPr>
              <w:t>AP I Article 36 deserves specific emphasis. It imposes on states a legal obligation to review new weapons, means, and methods of warfare for IHL compliance. The deployment of AI systems in targeting chains is arguably a new 'method of warfare' within the meaning of Article 36. States deploying such systems without a systematic governance architecture review may be failing their Article 36 obligations. EAAP-LGF is designed to provide the reference architecture against which such a review could be conducted and documented.</w:t>
            </w:r>
          </w:p>
        </w:tc>
      </w:tr>
    </w:tbl>
    <w:p w14:paraId="28EF7E70" w14:textId="77777777" w:rsidR="00CF2859" w:rsidRPr="00AE18A7" w:rsidRDefault="00CF2859">
      <w:pPr>
        <w:spacing w:before="80"/>
        <w:rPr>
          <w:rFonts w:ascii="Calibri" w:hAnsi="Calibri" w:cs="Calibri"/>
        </w:rPr>
      </w:pPr>
    </w:p>
    <w:p w14:paraId="28EF7E71" w14:textId="77777777" w:rsidR="00CF2859" w:rsidRPr="00AE18A7" w:rsidRDefault="00AE3F9E" w:rsidP="00272ED6">
      <w:pPr>
        <w:pStyle w:val="Heading10"/>
      </w:pPr>
      <w:bookmarkStart w:id="25" w:name="_Toc229741690"/>
      <w:r w:rsidRPr="00AE18A7">
        <w:t>13. Governing Rules</w:t>
      </w:r>
      <w:bookmarkEnd w:id="25"/>
    </w:p>
    <w:p w14:paraId="28EF7E72" w14:textId="77777777" w:rsidR="00CF2859" w:rsidRPr="00AE18A7" w:rsidRDefault="00AE3F9E">
      <w:pPr>
        <w:spacing w:before="80" w:line="276" w:lineRule="auto"/>
        <w:rPr>
          <w:rFonts w:ascii="Calibri" w:hAnsi="Calibri" w:cs="Calibri"/>
        </w:rPr>
      </w:pPr>
      <w:r w:rsidRPr="00AE18A7">
        <w:rPr>
          <w:rFonts w:ascii="Calibri" w:hAnsi="Calibri" w:cs="Calibri"/>
        </w:rPr>
        <w:t>The following governing rules apply in addition to all ten EAAP governing rules inherited from the parent framework (GR-001 through GR-010):</w:t>
      </w:r>
    </w:p>
    <w:p w14:paraId="28EF7E73" w14:textId="77777777" w:rsidR="00CF2859" w:rsidRPr="00AE18A7" w:rsidRDefault="00CF2859">
      <w:pPr>
        <w:spacing w:before="40"/>
        <w:rPr>
          <w:rFonts w:ascii="Calibri" w:hAnsi="Calibri" w:cs="Calibri"/>
        </w:rPr>
      </w:pPr>
    </w:p>
    <w:p w14:paraId="28EF7E74" w14:textId="5202132B" w:rsidR="00CF2859" w:rsidRPr="00AE18A7" w:rsidRDefault="00AE3F9E">
      <w:pPr>
        <w:spacing w:before="50" w:line="260" w:lineRule="auto"/>
        <w:ind w:left="440" w:hanging="440"/>
        <w:rPr>
          <w:rFonts w:ascii="Calibri" w:hAnsi="Calibri" w:cs="Calibri"/>
        </w:rPr>
      </w:pPr>
      <w:r w:rsidRPr="00AE18A7">
        <w:rPr>
          <w:rFonts w:ascii="Calibri" w:hAnsi="Calibri" w:cs="Calibri"/>
        </w:rPr>
        <w:lastRenderedPageBreak/>
        <w:t>LGF-GR-001 The Prohibition Layer (</w:t>
      </w:r>
      <w:r w:rsidR="008C67C1" w:rsidRPr="00AE18A7">
        <w:rPr>
          <w:rFonts w:ascii="Calibri" w:hAnsi="Calibri" w:cs="Calibri"/>
        </w:rPr>
        <w:t>Layer -1</w:t>
      </w:r>
      <w:r w:rsidRPr="00AE18A7">
        <w:rPr>
          <w:rFonts w:ascii="Calibri" w:hAnsi="Calibri" w:cs="Calibri"/>
        </w:rPr>
        <w:t xml:space="preserve">) is absolutely non-overridable. No person of any rank and no operational circumstance justifies bypassing </w:t>
      </w:r>
      <w:r w:rsidR="008C67C1" w:rsidRPr="00AE18A7">
        <w:rPr>
          <w:rFonts w:ascii="Calibri" w:hAnsi="Calibri" w:cs="Calibri"/>
        </w:rPr>
        <w:t>Layer -1</w:t>
      </w:r>
      <w:r w:rsidRPr="00AE18A7">
        <w:rPr>
          <w:rFonts w:ascii="Calibri" w:hAnsi="Calibri" w:cs="Calibri"/>
        </w:rPr>
        <w:t>.</w:t>
      </w:r>
    </w:p>
    <w:p w14:paraId="28EF7E75" w14:textId="77777777" w:rsidR="00CF2859" w:rsidRPr="00AE18A7" w:rsidRDefault="00AE3F9E">
      <w:pPr>
        <w:spacing w:before="50" w:line="260" w:lineRule="auto"/>
        <w:ind w:left="440" w:hanging="440"/>
        <w:rPr>
          <w:rFonts w:ascii="Calibri" w:hAnsi="Calibri" w:cs="Calibri"/>
        </w:rPr>
      </w:pPr>
      <w:r w:rsidRPr="00AE18A7">
        <w:rPr>
          <w:rFonts w:ascii="Calibri" w:hAnsi="Calibri" w:cs="Calibri"/>
        </w:rPr>
        <w:t>LGF-GR-002 Algorithm-only target identification is categorically insufficient for lethal action. Every lethal recommendation must be grounded in human intelligence source confirmation.</w:t>
      </w:r>
    </w:p>
    <w:p w14:paraId="28EF7E76" w14:textId="77777777" w:rsidR="00CF2859" w:rsidRPr="00AE18A7" w:rsidRDefault="00AE3F9E">
      <w:pPr>
        <w:spacing w:before="50" w:line="260" w:lineRule="auto"/>
        <w:ind w:left="440" w:hanging="440"/>
        <w:rPr>
          <w:rFonts w:ascii="Calibri" w:hAnsi="Calibri" w:cs="Calibri"/>
        </w:rPr>
      </w:pPr>
      <w:r w:rsidRPr="00AE18A7">
        <w:rPr>
          <w:rFonts w:ascii="Calibri" w:hAnsi="Calibri" w:cs="Calibri"/>
        </w:rPr>
        <w:t>LGF-GR-003 A qualified legal advisor must independently confirm legal compliance for every Tier L3 and L4 action. This cannot be delegated or waived.</w:t>
      </w:r>
    </w:p>
    <w:p w14:paraId="28EF7E77" w14:textId="77777777" w:rsidR="00CF2859" w:rsidRPr="00AE18A7" w:rsidRDefault="00AE3F9E">
      <w:pPr>
        <w:spacing w:before="50" w:line="260" w:lineRule="auto"/>
        <w:ind w:left="440" w:hanging="440"/>
        <w:rPr>
          <w:rFonts w:ascii="Calibri" w:hAnsi="Calibri" w:cs="Calibri"/>
        </w:rPr>
      </w:pPr>
      <w:r w:rsidRPr="00AE18A7">
        <w:rPr>
          <w:rFonts w:ascii="Calibri" w:hAnsi="Calibri" w:cs="Calibri"/>
        </w:rPr>
        <w:t>LGF-GR-004 Hard block conditions are absolute. They cannot be overridden by authoriser rank, operational urgency, or command authority.</w:t>
      </w:r>
    </w:p>
    <w:p w14:paraId="28EF7E78" w14:textId="77777777" w:rsidR="00CF2859" w:rsidRPr="00AE18A7" w:rsidRDefault="00AE3F9E">
      <w:pPr>
        <w:spacing w:before="50" w:line="260" w:lineRule="auto"/>
        <w:ind w:left="440" w:hanging="440"/>
        <w:rPr>
          <w:rFonts w:ascii="Calibri" w:hAnsi="Calibri" w:cs="Calibri"/>
        </w:rPr>
      </w:pPr>
      <w:r w:rsidRPr="00AE18A7">
        <w:rPr>
          <w:rFonts w:ascii="Calibri" w:hAnsi="Calibri" w:cs="Calibri"/>
        </w:rPr>
        <w:t>LGF-GR-005 Every lethal action recommendation must disclose all Known Unknowns. A recommendation concealing a Known Unknown is invalid regardless of other scores.</w:t>
      </w:r>
    </w:p>
    <w:p w14:paraId="28EF7E79" w14:textId="77777777" w:rsidR="00CF2859" w:rsidRPr="00AE18A7" w:rsidRDefault="00AE3F9E">
      <w:pPr>
        <w:spacing w:before="50" w:line="260" w:lineRule="auto"/>
        <w:ind w:left="440" w:hanging="440"/>
        <w:rPr>
          <w:rFonts w:ascii="Calibri" w:hAnsi="Calibri" w:cs="Calibri"/>
        </w:rPr>
      </w:pPr>
      <w:r w:rsidRPr="00AE18A7">
        <w:rPr>
          <w:rFonts w:ascii="Calibri" w:hAnsi="Calibri" w:cs="Calibri"/>
        </w:rPr>
        <w:t>LGF-GR-006 Approval tokens expire and cannot be extended. An expired token requires a complete new authorisation cycle.</w:t>
      </w:r>
    </w:p>
    <w:p w14:paraId="28EF7E7A" w14:textId="77777777" w:rsidR="00CF2859" w:rsidRPr="00AE18A7" w:rsidRDefault="00AE3F9E">
      <w:pPr>
        <w:spacing w:before="50" w:line="260" w:lineRule="auto"/>
        <w:ind w:left="440" w:hanging="440"/>
        <w:rPr>
          <w:rFonts w:ascii="Calibri" w:hAnsi="Calibri" w:cs="Calibri"/>
        </w:rPr>
      </w:pPr>
      <w:r w:rsidRPr="00AE18A7">
        <w:rPr>
          <w:rFonts w:ascii="Calibri" w:hAnsi="Calibri" w:cs="Calibri"/>
        </w:rPr>
        <w:t>LGF-GR-007 The post-action review is mandatory for all Tier L3 and L4 actions. It cannot be waived, abbreviated, or delayed.</w:t>
      </w:r>
    </w:p>
    <w:p w14:paraId="28EF7E7B" w14:textId="77777777" w:rsidR="00CF2859" w:rsidRPr="00AE18A7" w:rsidRDefault="00AE3F9E">
      <w:pPr>
        <w:spacing w:before="50" w:line="260" w:lineRule="auto"/>
        <w:ind w:left="440" w:hanging="440"/>
        <w:rPr>
          <w:rFonts w:ascii="Calibri" w:hAnsi="Calibri" w:cs="Calibri"/>
        </w:rPr>
      </w:pPr>
      <w:r w:rsidRPr="00AE18A7">
        <w:rPr>
          <w:rFonts w:ascii="Calibri" w:hAnsi="Calibri" w:cs="Calibri"/>
        </w:rPr>
        <w:t>LGF-GR-008 Any civilian casualty not anticipated in the pre-action CDE triggers a mandatory investigation. Systematic CDE underestimation triggers suspension of AI recommendation capability.</w:t>
      </w:r>
    </w:p>
    <w:p w14:paraId="28EF7E7C" w14:textId="77777777" w:rsidR="00CF2859" w:rsidRPr="00AE18A7" w:rsidRDefault="00AE3F9E">
      <w:pPr>
        <w:spacing w:before="50" w:line="260" w:lineRule="auto"/>
        <w:ind w:left="440" w:hanging="440"/>
        <w:rPr>
          <w:rFonts w:ascii="Calibri" w:hAnsi="Calibri" w:cs="Calibri"/>
        </w:rPr>
      </w:pPr>
      <w:r w:rsidRPr="00AE18A7">
        <w:rPr>
          <w:rFonts w:ascii="Calibri" w:hAnsi="Calibri" w:cs="Calibri"/>
        </w:rPr>
        <w:t>LGF-GR-009 The audit trail is immutable and cannot be destroyed through ordinary operational processes. Records are maintained for a minimum of 20 years. Modification or destruction must be treated as a serious legal, disciplinary, and accountability breach under applicable law.</w:t>
      </w:r>
    </w:p>
    <w:p w14:paraId="28EF7E7D" w14:textId="77777777" w:rsidR="00CF2859" w:rsidRPr="00AE18A7" w:rsidRDefault="00AE3F9E">
      <w:pPr>
        <w:spacing w:before="50" w:line="260" w:lineRule="auto"/>
        <w:ind w:left="440" w:hanging="440"/>
        <w:rPr>
          <w:rFonts w:ascii="Calibri" w:hAnsi="Calibri" w:cs="Calibri"/>
        </w:rPr>
      </w:pPr>
      <w:r w:rsidRPr="00AE18A7">
        <w:rPr>
          <w:rFonts w:ascii="Calibri" w:hAnsi="Calibri" w:cs="Calibri"/>
        </w:rPr>
        <w:t>LGF-GR-010 The AI system recommends. It does not decide. It does not execute. Decision and execution are human responsibilities.</w:t>
      </w:r>
    </w:p>
    <w:p w14:paraId="28EF7E7E" w14:textId="77777777" w:rsidR="00CF2859" w:rsidRPr="00AE18A7" w:rsidRDefault="00AE3F9E">
      <w:pPr>
        <w:spacing w:before="50" w:line="260" w:lineRule="auto"/>
        <w:ind w:left="440" w:hanging="440"/>
        <w:rPr>
          <w:rFonts w:ascii="Calibri" w:hAnsi="Calibri" w:cs="Calibri"/>
        </w:rPr>
      </w:pPr>
      <w:r w:rsidRPr="00AE18A7">
        <w:rPr>
          <w:rFonts w:ascii="Calibri" w:hAnsi="Calibri" w:cs="Calibri"/>
        </w:rPr>
        <w:t>LGF-GR-011 This framework defines minimum requirements. More constraint is always permissible. Less is not.</w:t>
      </w:r>
    </w:p>
    <w:p w14:paraId="28EF7E7F" w14:textId="77777777" w:rsidR="00CF2859" w:rsidRPr="00AE18A7" w:rsidRDefault="00AE3F9E">
      <w:pPr>
        <w:spacing w:before="50" w:line="260" w:lineRule="auto"/>
        <w:ind w:left="440" w:hanging="440"/>
        <w:rPr>
          <w:rFonts w:ascii="Calibri" w:hAnsi="Calibri" w:cs="Calibri"/>
        </w:rPr>
      </w:pPr>
      <w:r w:rsidRPr="00AE18A7">
        <w:rPr>
          <w:rFonts w:ascii="Calibri" w:hAnsi="Calibri" w:cs="Calibri"/>
        </w:rPr>
        <w:t>LGF-GR-012 The framework must be reviewed by qualified IHL counsel before any operational deployment, formal policy adoption, or proposed modification. No modification may reduce the governance requirements specified here without a documented legal and governance review.</w:t>
      </w:r>
    </w:p>
    <w:p w14:paraId="28EF7E80" w14:textId="77777777" w:rsidR="00CF2859" w:rsidRPr="00AE18A7" w:rsidRDefault="00CF2859">
      <w:pPr>
        <w:spacing w:before="80"/>
        <w:rPr>
          <w:rFonts w:ascii="Calibri" w:hAnsi="Calibri" w:cs="Calibri"/>
        </w:rPr>
      </w:pPr>
    </w:p>
    <w:p w14:paraId="28EF7E81" w14:textId="77777777" w:rsidR="00CF2859" w:rsidRPr="00AE18A7" w:rsidRDefault="00AE3F9E" w:rsidP="00272ED6">
      <w:pPr>
        <w:pStyle w:val="Heading10"/>
      </w:pPr>
      <w:bookmarkStart w:id="26" w:name="_Toc229741691"/>
      <w:r w:rsidRPr="00AE18A7">
        <w:t>14. Gaps Requiring Further Development</w:t>
      </w:r>
      <w:bookmarkEnd w:id="26"/>
    </w:p>
    <w:p w14:paraId="28EF7E82" w14:textId="77777777" w:rsidR="00CF2859" w:rsidRPr="00AE18A7" w:rsidRDefault="00AE3F9E">
      <w:pPr>
        <w:spacing w:before="80" w:line="276" w:lineRule="auto"/>
        <w:rPr>
          <w:rFonts w:ascii="Calibri" w:hAnsi="Calibri" w:cs="Calibri"/>
        </w:rPr>
      </w:pPr>
      <w:r w:rsidRPr="00AE18A7">
        <w:rPr>
          <w:rFonts w:ascii="Calibri" w:hAnsi="Calibri" w:cs="Calibri"/>
        </w:rPr>
        <w:t>EAAP-LGF is a first-generation conceptual governance specification. The following areas require substantial further development, legal review, empirical validation, and independent technical assessment before any implementation could be considered.</w:t>
      </w:r>
    </w:p>
    <w:p w14:paraId="28EF7E83" w14:textId="77777777" w:rsidR="00CF2859" w:rsidRPr="00AE18A7" w:rsidRDefault="00CF2859">
      <w:pPr>
        <w:spacing w:before="40"/>
        <w:rPr>
          <w:rFonts w:ascii="Calibri" w:hAnsi="Calibri" w:cs="Calibri"/>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72"/>
      </w:tblGrid>
      <w:tr w:rsidR="00CF2859" w:rsidRPr="00AE18A7" w14:paraId="28EF7E86" w14:textId="77777777">
        <w:trPr>
          <w:tblHeader/>
        </w:trPr>
        <w:tc>
          <w:tcPr>
            <w:tcW w:w="2800" w:type="dxa"/>
            <w:tcBorders>
              <w:top w:val="single" w:sz="1" w:space="0" w:color="1A1A1A"/>
              <w:left w:val="single" w:sz="1" w:space="0" w:color="1A1A1A"/>
              <w:bottom w:val="single" w:sz="1" w:space="0" w:color="1A1A1A"/>
              <w:right w:val="single" w:sz="1" w:space="0" w:color="1A1A1A"/>
            </w:tcBorders>
            <w:shd w:val="clear" w:color="auto" w:fill="1A1A1A"/>
            <w:tcMar>
              <w:top w:w="60" w:type="dxa"/>
              <w:left w:w="100" w:type="dxa"/>
              <w:bottom w:w="60" w:type="dxa"/>
              <w:right w:w="100" w:type="dxa"/>
            </w:tcMar>
          </w:tcPr>
          <w:p w14:paraId="28EF7E84" w14:textId="77777777" w:rsidR="00CF2859" w:rsidRPr="00AE18A7" w:rsidRDefault="00AE3F9E">
            <w:pPr>
              <w:rPr>
                <w:rFonts w:ascii="Calibri" w:hAnsi="Calibri" w:cs="Calibri"/>
              </w:rPr>
            </w:pPr>
            <w:r w:rsidRPr="00AE18A7">
              <w:rPr>
                <w:rFonts w:ascii="Calibri" w:hAnsi="Calibri" w:cs="Calibri"/>
                <w:b/>
                <w:bCs/>
                <w:color w:val="FFFFFF"/>
                <w:sz w:val="17"/>
                <w:szCs w:val="17"/>
              </w:rPr>
              <w:t>Gap Area</w:t>
            </w:r>
          </w:p>
        </w:tc>
        <w:tc>
          <w:tcPr>
            <w:tcW w:w="6272" w:type="dxa"/>
            <w:tcBorders>
              <w:top w:val="single" w:sz="1" w:space="0" w:color="1A1A1A"/>
              <w:left w:val="single" w:sz="1" w:space="0" w:color="1A1A1A"/>
              <w:bottom w:val="single" w:sz="1" w:space="0" w:color="1A1A1A"/>
              <w:right w:val="single" w:sz="1" w:space="0" w:color="1A1A1A"/>
            </w:tcBorders>
            <w:shd w:val="clear" w:color="auto" w:fill="1A1A1A"/>
            <w:tcMar>
              <w:top w:w="60" w:type="dxa"/>
              <w:left w:w="100" w:type="dxa"/>
              <w:bottom w:w="60" w:type="dxa"/>
              <w:right w:w="100" w:type="dxa"/>
            </w:tcMar>
          </w:tcPr>
          <w:p w14:paraId="28EF7E85" w14:textId="77777777" w:rsidR="00CF2859" w:rsidRPr="00AE18A7" w:rsidRDefault="00AE3F9E">
            <w:pPr>
              <w:rPr>
                <w:rFonts w:ascii="Calibri" w:hAnsi="Calibri" w:cs="Calibri"/>
              </w:rPr>
            </w:pPr>
            <w:r w:rsidRPr="00AE18A7">
              <w:rPr>
                <w:rFonts w:ascii="Calibri" w:hAnsi="Calibri" w:cs="Calibri"/>
                <w:b/>
                <w:bCs/>
                <w:color w:val="FFFFFF"/>
                <w:sz w:val="17"/>
                <w:szCs w:val="17"/>
              </w:rPr>
              <w:t>Development Required</w:t>
            </w:r>
          </w:p>
        </w:tc>
      </w:tr>
      <w:tr w:rsidR="00CF2859" w:rsidRPr="00AE18A7" w14:paraId="28EF7E89" w14:textId="77777777">
        <w:tc>
          <w:tcPr>
            <w:tcW w:w="28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E87"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TIC calibration methodology</w:t>
            </w:r>
          </w:p>
        </w:tc>
        <w:tc>
          <w:tcPr>
            <w:tcW w:w="6272"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E88"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Correct calibration in adversarial, data-sparse operational environments. Research programme on model calibration with independent verification methodology.</w:t>
            </w:r>
          </w:p>
        </w:tc>
      </w:tr>
      <w:tr w:rsidR="00CF2859" w:rsidRPr="00AE18A7" w14:paraId="28EF7E8C"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E8A"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LCA encoding</w:t>
            </w:r>
          </w:p>
        </w:tc>
        <w:tc>
          <w:tcPr>
            <w:tcW w:w="627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E8B"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Encoding IHL proportionality and military objective criteria in computable form for contested cases. See Appendix B for illustrative criteria requiring development.</w:t>
            </w:r>
          </w:p>
        </w:tc>
      </w:tr>
      <w:tr w:rsidR="00CF2859" w:rsidRPr="00AE18A7" w14:paraId="28EF7E8F" w14:textId="77777777">
        <w:tc>
          <w:tcPr>
            <w:tcW w:w="28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E8D"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CDE modelling</w:t>
            </w:r>
          </w:p>
        </w:tc>
        <w:tc>
          <w:tcPr>
            <w:tcW w:w="6272"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E8E"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Standardised, auditable computational CDE methodology. No internationally agreed standard currently exists.</w:t>
            </w:r>
          </w:p>
        </w:tc>
      </w:tr>
      <w:tr w:rsidR="00CF2859" w:rsidRPr="00AE18A7" w14:paraId="28EF7E92"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E90"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Anti-automation-bias interface design</w:t>
            </w:r>
          </w:p>
        </w:tc>
        <w:tc>
          <w:tcPr>
            <w:tcW w:w="627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E91"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Empirical human factors research on authoriser interface design that achieves genuine cognitive engagement rather than formalised approval.</w:t>
            </w:r>
          </w:p>
        </w:tc>
      </w:tr>
      <w:tr w:rsidR="00CF2859" w:rsidRPr="00AE18A7" w14:paraId="28EF7E95" w14:textId="77777777">
        <w:tc>
          <w:tcPr>
            <w:tcW w:w="28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E93"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Prohibition layer independent verification</w:t>
            </w:r>
          </w:p>
        </w:tc>
        <w:tc>
          <w:tcPr>
            <w:tcW w:w="6272"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E94"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Technical methodology and organisational protocol for independent verification of prohibition layer implementations.</w:t>
            </w:r>
          </w:p>
        </w:tc>
      </w:tr>
      <w:tr w:rsidR="00CF2859" w:rsidRPr="00AE18A7" w14:paraId="28EF7E98"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E96"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Cross-jurisdictional applicability</w:t>
            </w:r>
          </w:p>
        </w:tc>
        <w:tc>
          <w:tcPr>
            <w:tcW w:w="627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E97"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Jurisdiction-specific implementation guidance for different RoE, treaty obligations, and command structures.</w:t>
            </w:r>
          </w:p>
        </w:tc>
      </w:tr>
      <w:tr w:rsidR="00CF2859" w:rsidRPr="00AE18A7" w14:paraId="28EF7E9B" w14:textId="77777777">
        <w:tc>
          <w:tcPr>
            <w:tcW w:w="28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E99"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Hybrid warfare contexts</w:t>
            </w:r>
          </w:p>
        </w:tc>
        <w:tc>
          <w:tcPr>
            <w:tcW w:w="6272"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E9A"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Specific guidance where combatant/civilian distinction is contested. Cannot rely on clear status categorisation assumed by the current framework.</w:t>
            </w:r>
          </w:p>
        </w:tc>
      </w:tr>
    </w:tbl>
    <w:p w14:paraId="28EF7E9C" w14:textId="77777777" w:rsidR="00CF2859" w:rsidRDefault="00CF2859">
      <w:pPr>
        <w:spacing w:before="80"/>
        <w:rPr>
          <w:rFonts w:ascii="Calibri" w:hAnsi="Calibri" w:cs="Calibri"/>
          <w:lang w:val="en-GB"/>
        </w:rPr>
      </w:pPr>
    </w:p>
    <w:p w14:paraId="41828DF9" w14:textId="77777777" w:rsidR="00072E13" w:rsidRPr="00072E13" w:rsidRDefault="00072E13">
      <w:pPr>
        <w:spacing w:before="80"/>
        <w:rPr>
          <w:rFonts w:ascii="Calibri" w:hAnsi="Calibri" w:cs="Calibri"/>
          <w:lang w:val="en-GB"/>
        </w:rPr>
      </w:pPr>
    </w:p>
    <w:p w14:paraId="28EF7E9D" w14:textId="77777777" w:rsidR="00CF2859" w:rsidRPr="00AE18A7" w:rsidRDefault="00AE3F9E" w:rsidP="00EB5C87">
      <w:pPr>
        <w:pStyle w:val="Heading10"/>
      </w:pPr>
      <w:bookmarkStart w:id="27" w:name="_Toc229741692"/>
      <w:r w:rsidRPr="00AE18A7">
        <w:lastRenderedPageBreak/>
        <w:t>15. Comparison: Enterprise EAAP vs. EAAP-LGF</w:t>
      </w:r>
      <w:bookmarkEnd w:id="27"/>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600"/>
        <w:gridCol w:w="3272"/>
      </w:tblGrid>
      <w:tr w:rsidR="00CF2859" w:rsidRPr="00AE18A7" w14:paraId="28EF7EA1" w14:textId="77777777">
        <w:trPr>
          <w:tblHeader/>
        </w:trPr>
        <w:tc>
          <w:tcPr>
            <w:tcW w:w="3200" w:type="dxa"/>
            <w:tcBorders>
              <w:top w:val="single" w:sz="1" w:space="0" w:color="1A1A1A"/>
              <w:left w:val="single" w:sz="1" w:space="0" w:color="1A1A1A"/>
              <w:bottom w:val="single" w:sz="1" w:space="0" w:color="1A1A1A"/>
              <w:right w:val="single" w:sz="1" w:space="0" w:color="1A1A1A"/>
            </w:tcBorders>
            <w:shd w:val="clear" w:color="auto" w:fill="1A1A1A"/>
            <w:tcMar>
              <w:top w:w="60" w:type="dxa"/>
              <w:left w:w="100" w:type="dxa"/>
              <w:bottom w:w="60" w:type="dxa"/>
              <w:right w:w="100" w:type="dxa"/>
            </w:tcMar>
          </w:tcPr>
          <w:p w14:paraId="28EF7E9E" w14:textId="77777777" w:rsidR="00CF2859" w:rsidRPr="00AE18A7" w:rsidRDefault="00AE3F9E">
            <w:pPr>
              <w:rPr>
                <w:rFonts w:ascii="Calibri" w:hAnsi="Calibri" w:cs="Calibri"/>
              </w:rPr>
            </w:pPr>
            <w:r w:rsidRPr="00AE18A7">
              <w:rPr>
                <w:rFonts w:ascii="Calibri" w:hAnsi="Calibri" w:cs="Calibri"/>
                <w:b/>
                <w:bCs/>
                <w:color w:val="FFFFFF"/>
                <w:sz w:val="17"/>
                <w:szCs w:val="17"/>
              </w:rPr>
              <w:t>Feature</w:t>
            </w:r>
          </w:p>
        </w:tc>
        <w:tc>
          <w:tcPr>
            <w:tcW w:w="2600" w:type="dxa"/>
            <w:tcBorders>
              <w:top w:val="single" w:sz="1" w:space="0" w:color="1A1A1A"/>
              <w:left w:val="single" w:sz="1" w:space="0" w:color="1A1A1A"/>
              <w:bottom w:val="single" w:sz="1" w:space="0" w:color="1A1A1A"/>
              <w:right w:val="single" w:sz="1" w:space="0" w:color="1A1A1A"/>
            </w:tcBorders>
            <w:shd w:val="clear" w:color="auto" w:fill="1A1A1A"/>
            <w:tcMar>
              <w:top w:w="60" w:type="dxa"/>
              <w:left w:w="100" w:type="dxa"/>
              <w:bottom w:w="60" w:type="dxa"/>
              <w:right w:w="100" w:type="dxa"/>
            </w:tcMar>
          </w:tcPr>
          <w:p w14:paraId="28EF7E9F" w14:textId="77777777" w:rsidR="00CF2859" w:rsidRPr="00AE18A7" w:rsidRDefault="00AE3F9E">
            <w:pPr>
              <w:rPr>
                <w:rFonts w:ascii="Calibri" w:hAnsi="Calibri" w:cs="Calibri"/>
              </w:rPr>
            </w:pPr>
            <w:r w:rsidRPr="00AE18A7">
              <w:rPr>
                <w:rFonts w:ascii="Calibri" w:hAnsi="Calibri" w:cs="Calibri"/>
                <w:b/>
                <w:bCs/>
                <w:color w:val="FFFFFF"/>
                <w:sz w:val="17"/>
                <w:szCs w:val="17"/>
              </w:rPr>
              <w:t>Enterprise EAAP</w:t>
            </w:r>
          </w:p>
        </w:tc>
        <w:tc>
          <w:tcPr>
            <w:tcW w:w="3272" w:type="dxa"/>
            <w:tcBorders>
              <w:top w:val="single" w:sz="1" w:space="0" w:color="1A1A1A"/>
              <w:left w:val="single" w:sz="1" w:space="0" w:color="1A1A1A"/>
              <w:bottom w:val="single" w:sz="1" w:space="0" w:color="1A1A1A"/>
              <w:right w:val="single" w:sz="1" w:space="0" w:color="1A1A1A"/>
            </w:tcBorders>
            <w:shd w:val="clear" w:color="auto" w:fill="1A1A1A"/>
            <w:tcMar>
              <w:top w:w="60" w:type="dxa"/>
              <w:left w:w="100" w:type="dxa"/>
              <w:bottom w:w="60" w:type="dxa"/>
              <w:right w:w="100" w:type="dxa"/>
            </w:tcMar>
          </w:tcPr>
          <w:p w14:paraId="28EF7EA0" w14:textId="77777777" w:rsidR="00CF2859" w:rsidRPr="00AE18A7" w:rsidRDefault="00AE3F9E">
            <w:pPr>
              <w:rPr>
                <w:rFonts w:ascii="Calibri" w:hAnsi="Calibri" w:cs="Calibri"/>
              </w:rPr>
            </w:pPr>
            <w:r w:rsidRPr="00AE18A7">
              <w:rPr>
                <w:rFonts w:ascii="Calibri" w:hAnsi="Calibri" w:cs="Calibri"/>
                <w:b/>
                <w:bCs/>
                <w:color w:val="FFFFFF"/>
                <w:sz w:val="17"/>
                <w:szCs w:val="17"/>
              </w:rPr>
              <w:t>EAAP-LGF</w:t>
            </w:r>
          </w:p>
        </w:tc>
      </w:tr>
      <w:tr w:rsidR="00CF2859" w:rsidRPr="00AE18A7" w14:paraId="28EF7EA5" w14:textId="77777777">
        <w:tc>
          <w:tcPr>
            <w:tcW w:w="32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EA2" w14:textId="77777777" w:rsidR="00CF2859" w:rsidRPr="00072E13" w:rsidRDefault="00AE3F9E">
            <w:pPr>
              <w:spacing w:line="260" w:lineRule="auto"/>
              <w:rPr>
                <w:rFonts w:ascii="Calibri" w:hAnsi="Calibri" w:cs="Calibri"/>
                <w:sz w:val="17"/>
                <w:szCs w:val="17"/>
              </w:rPr>
            </w:pPr>
            <w:r w:rsidRPr="00072E13">
              <w:rPr>
                <w:rFonts w:ascii="Calibri" w:hAnsi="Calibri" w:cs="Calibri"/>
                <w:color w:val="444444"/>
                <w:sz w:val="17"/>
                <w:szCs w:val="17"/>
              </w:rPr>
              <w:t>Prohibition layer</w:t>
            </w:r>
          </w:p>
        </w:tc>
        <w:tc>
          <w:tcPr>
            <w:tcW w:w="26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EA3" w14:textId="77777777" w:rsidR="00CF2859" w:rsidRPr="00072E13" w:rsidRDefault="00AE3F9E">
            <w:pPr>
              <w:spacing w:line="260" w:lineRule="auto"/>
              <w:rPr>
                <w:rFonts w:ascii="Calibri" w:hAnsi="Calibri" w:cs="Calibri"/>
                <w:sz w:val="17"/>
                <w:szCs w:val="17"/>
              </w:rPr>
            </w:pPr>
            <w:r w:rsidRPr="00072E13">
              <w:rPr>
                <w:rFonts w:ascii="Calibri" w:hAnsi="Calibri" w:cs="Calibri"/>
                <w:color w:val="444444"/>
                <w:sz w:val="17"/>
                <w:szCs w:val="17"/>
              </w:rPr>
              <w:t>None</w:t>
            </w:r>
          </w:p>
        </w:tc>
        <w:tc>
          <w:tcPr>
            <w:tcW w:w="3272"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EA4" w14:textId="67AB41DF" w:rsidR="00CF2859" w:rsidRPr="00072E13" w:rsidRDefault="008C67C1">
            <w:pPr>
              <w:spacing w:line="260" w:lineRule="auto"/>
              <w:rPr>
                <w:rFonts w:ascii="Calibri" w:hAnsi="Calibri" w:cs="Calibri"/>
                <w:sz w:val="17"/>
                <w:szCs w:val="17"/>
              </w:rPr>
            </w:pPr>
            <w:r w:rsidRPr="00072E13">
              <w:rPr>
                <w:rFonts w:ascii="Calibri" w:hAnsi="Calibri" w:cs="Calibri"/>
                <w:sz w:val="17"/>
                <w:szCs w:val="17"/>
              </w:rPr>
              <w:t>Layer -1</w:t>
            </w:r>
            <w:r w:rsidR="00AE3F9E" w:rsidRPr="00072E13">
              <w:rPr>
                <w:rFonts w:ascii="Calibri" w:hAnsi="Calibri" w:cs="Calibri"/>
                <w:sz w:val="17"/>
                <w:szCs w:val="17"/>
              </w:rPr>
              <w:t>: deterministic, tamper-resistant, cryptographically controlled, IHL-based, non-overridable</w:t>
            </w:r>
          </w:p>
        </w:tc>
      </w:tr>
      <w:tr w:rsidR="00CF2859" w:rsidRPr="00AE18A7" w14:paraId="28EF7EA9"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EA6" w14:textId="77777777" w:rsidR="00CF2859" w:rsidRPr="00072E13" w:rsidRDefault="00AE3F9E">
            <w:pPr>
              <w:spacing w:line="260" w:lineRule="auto"/>
              <w:rPr>
                <w:rFonts w:ascii="Calibri" w:hAnsi="Calibri" w:cs="Calibri"/>
                <w:sz w:val="17"/>
                <w:szCs w:val="17"/>
              </w:rPr>
            </w:pPr>
            <w:r w:rsidRPr="00072E13">
              <w:rPr>
                <w:rFonts w:ascii="Calibri" w:hAnsi="Calibri" w:cs="Calibri"/>
                <w:color w:val="444444"/>
                <w:sz w:val="17"/>
                <w:szCs w:val="17"/>
              </w:rPr>
              <w:t>Algorithm-only identification</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EA7" w14:textId="77777777" w:rsidR="00CF2859" w:rsidRPr="00072E13" w:rsidRDefault="00AE3F9E">
            <w:pPr>
              <w:spacing w:line="260" w:lineRule="auto"/>
              <w:rPr>
                <w:rFonts w:ascii="Calibri" w:hAnsi="Calibri" w:cs="Calibri"/>
                <w:sz w:val="17"/>
                <w:szCs w:val="17"/>
              </w:rPr>
            </w:pPr>
            <w:r w:rsidRPr="00072E13">
              <w:rPr>
                <w:rFonts w:ascii="Calibri" w:hAnsi="Calibri" w:cs="Calibri"/>
                <w:color w:val="444444"/>
                <w:sz w:val="17"/>
                <w:szCs w:val="17"/>
              </w:rPr>
              <w:t>Not applicable</w:t>
            </w:r>
          </w:p>
        </w:tc>
        <w:tc>
          <w:tcPr>
            <w:tcW w:w="327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EA8" w14:textId="5146CE97" w:rsidR="00CF2859" w:rsidRPr="00072E13" w:rsidRDefault="00AE3F9E">
            <w:pPr>
              <w:spacing w:line="260" w:lineRule="auto"/>
              <w:rPr>
                <w:rFonts w:ascii="Calibri" w:hAnsi="Calibri" w:cs="Calibri"/>
                <w:sz w:val="17"/>
                <w:szCs w:val="17"/>
              </w:rPr>
            </w:pPr>
            <w:r w:rsidRPr="00072E13">
              <w:rPr>
                <w:rFonts w:ascii="Calibri" w:hAnsi="Calibri" w:cs="Calibri"/>
                <w:color w:val="444444"/>
                <w:sz w:val="17"/>
                <w:szCs w:val="17"/>
              </w:rPr>
              <w:t>Categorically prohibited hard block all tiers</w:t>
            </w:r>
          </w:p>
        </w:tc>
      </w:tr>
      <w:tr w:rsidR="00CF2859" w:rsidRPr="00AE18A7" w14:paraId="28EF7EAD" w14:textId="77777777">
        <w:tc>
          <w:tcPr>
            <w:tcW w:w="32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EAA" w14:textId="77777777" w:rsidR="00CF2859" w:rsidRPr="00072E13" w:rsidRDefault="00AE3F9E">
            <w:pPr>
              <w:spacing w:line="260" w:lineRule="auto"/>
              <w:rPr>
                <w:rFonts w:ascii="Calibri" w:hAnsi="Calibri" w:cs="Calibri"/>
                <w:sz w:val="17"/>
                <w:szCs w:val="17"/>
              </w:rPr>
            </w:pPr>
            <w:r w:rsidRPr="00072E13">
              <w:rPr>
                <w:rFonts w:ascii="Calibri" w:hAnsi="Calibri" w:cs="Calibri"/>
                <w:color w:val="444444"/>
                <w:sz w:val="17"/>
                <w:szCs w:val="17"/>
              </w:rPr>
              <w:t>Minimum confidence for primary action</w:t>
            </w:r>
          </w:p>
        </w:tc>
        <w:tc>
          <w:tcPr>
            <w:tcW w:w="26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EAB" w14:textId="77777777" w:rsidR="00CF2859" w:rsidRPr="00072E13" w:rsidRDefault="00AE3F9E">
            <w:pPr>
              <w:spacing w:line="260" w:lineRule="auto"/>
              <w:rPr>
                <w:rFonts w:ascii="Calibri" w:hAnsi="Calibri" w:cs="Calibri"/>
                <w:sz w:val="17"/>
                <w:szCs w:val="17"/>
              </w:rPr>
            </w:pPr>
            <w:r w:rsidRPr="00072E13">
              <w:rPr>
                <w:rFonts w:ascii="Calibri" w:hAnsi="Calibri" w:cs="Calibri"/>
                <w:color w:val="444444"/>
                <w:sz w:val="17"/>
                <w:szCs w:val="17"/>
              </w:rPr>
              <w:t>High (≥80)</w:t>
            </w:r>
          </w:p>
        </w:tc>
        <w:tc>
          <w:tcPr>
            <w:tcW w:w="3272"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EAC" w14:textId="77777777" w:rsidR="00CF2859" w:rsidRPr="00072E13" w:rsidRDefault="00AE3F9E">
            <w:pPr>
              <w:spacing w:line="260" w:lineRule="auto"/>
              <w:rPr>
                <w:rFonts w:ascii="Calibri" w:hAnsi="Calibri" w:cs="Calibri"/>
                <w:sz w:val="17"/>
                <w:szCs w:val="17"/>
              </w:rPr>
            </w:pPr>
            <w:r w:rsidRPr="00072E13">
              <w:rPr>
                <w:rFonts w:ascii="Calibri" w:hAnsi="Calibri" w:cs="Calibri"/>
                <w:color w:val="444444"/>
                <w:sz w:val="17"/>
                <w:szCs w:val="17"/>
              </w:rPr>
              <w:t>Confirmed (≥90) for Tier L3 lethal action</w:t>
            </w:r>
          </w:p>
        </w:tc>
      </w:tr>
      <w:tr w:rsidR="00CF2859" w:rsidRPr="00AE18A7" w14:paraId="28EF7EB1"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EAE" w14:textId="77777777" w:rsidR="00CF2859" w:rsidRPr="00072E13" w:rsidRDefault="00AE3F9E">
            <w:pPr>
              <w:spacing w:line="260" w:lineRule="auto"/>
              <w:rPr>
                <w:rFonts w:ascii="Calibri" w:hAnsi="Calibri" w:cs="Calibri"/>
                <w:sz w:val="17"/>
                <w:szCs w:val="17"/>
              </w:rPr>
            </w:pPr>
            <w:r w:rsidRPr="00072E13">
              <w:rPr>
                <w:rFonts w:ascii="Calibri" w:hAnsi="Calibri" w:cs="Calibri"/>
                <w:color w:val="444444"/>
                <w:sz w:val="17"/>
                <w:szCs w:val="17"/>
              </w:rPr>
              <w:t>Human authorisers required</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EAF" w14:textId="77777777" w:rsidR="00CF2859" w:rsidRPr="00072E13" w:rsidRDefault="00AE3F9E">
            <w:pPr>
              <w:spacing w:line="260" w:lineRule="auto"/>
              <w:rPr>
                <w:rFonts w:ascii="Calibri" w:hAnsi="Calibri" w:cs="Calibri"/>
                <w:sz w:val="17"/>
                <w:szCs w:val="17"/>
              </w:rPr>
            </w:pPr>
            <w:r w:rsidRPr="00072E13">
              <w:rPr>
                <w:rFonts w:ascii="Calibri" w:hAnsi="Calibri" w:cs="Calibri"/>
                <w:color w:val="444444"/>
                <w:sz w:val="17"/>
                <w:szCs w:val="17"/>
              </w:rPr>
              <w:t>1 (with approval token)</w:t>
            </w:r>
          </w:p>
        </w:tc>
        <w:tc>
          <w:tcPr>
            <w:tcW w:w="327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EB0" w14:textId="77777777" w:rsidR="00CF2859" w:rsidRPr="00072E13" w:rsidRDefault="00AE3F9E">
            <w:pPr>
              <w:spacing w:line="260" w:lineRule="auto"/>
              <w:rPr>
                <w:rFonts w:ascii="Calibri" w:hAnsi="Calibri" w:cs="Calibri"/>
                <w:sz w:val="17"/>
                <w:szCs w:val="17"/>
              </w:rPr>
            </w:pPr>
            <w:r w:rsidRPr="00072E13">
              <w:rPr>
                <w:rFonts w:ascii="Calibri" w:hAnsi="Calibri" w:cs="Calibri"/>
                <w:color w:val="444444"/>
                <w:sz w:val="17"/>
                <w:szCs w:val="17"/>
              </w:rPr>
              <w:t>3 independent (L3); 5 (L4)</w:t>
            </w:r>
          </w:p>
        </w:tc>
      </w:tr>
      <w:tr w:rsidR="00CF2859" w:rsidRPr="00AE18A7" w14:paraId="28EF7EB5" w14:textId="77777777">
        <w:tc>
          <w:tcPr>
            <w:tcW w:w="32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EB2" w14:textId="77777777" w:rsidR="00CF2859" w:rsidRPr="00072E13" w:rsidRDefault="00AE3F9E">
            <w:pPr>
              <w:spacing w:line="260" w:lineRule="auto"/>
              <w:rPr>
                <w:rFonts w:ascii="Calibri" w:hAnsi="Calibri" w:cs="Calibri"/>
                <w:sz w:val="17"/>
                <w:szCs w:val="17"/>
              </w:rPr>
            </w:pPr>
            <w:r w:rsidRPr="00072E13">
              <w:rPr>
                <w:rFonts w:ascii="Calibri" w:hAnsi="Calibri" w:cs="Calibri"/>
                <w:color w:val="444444"/>
                <w:sz w:val="17"/>
                <w:szCs w:val="17"/>
              </w:rPr>
              <w:t>Legal advisor</w:t>
            </w:r>
          </w:p>
        </w:tc>
        <w:tc>
          <w:tcPr>
            <w:tcW w:w="26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EB3" w14:textId="77777777" w:rsidR="00CF2859" w:rsidRPr="00072E13" w:rsidRDefault="00AE3F9E">
            <w:pPr>
              <w:spacing w:line="260" w:lineRule="auto"/>
              <w:rPr>
                <w:rFonts w:ascii="Calibri" w:hAnsi="Calibri" w:cs="Calibri"/>
                <w:sz w:val="17"/>
                <w:szCs w:val="17"/>
              </w:rPr>
            </w:pPr>
            <w:r w:rsidRPr="00072E13">
              <w:rPr>
                <w:rFonts w:ascii="Calibri" w:hAnsi="Calibri" w:cs="Calibri"/>
                <w:color w:val="444444"/>
                <w:sz w:val="17"/>
                <w:szCs w:val="17"/>
              </w:rPr>
              <w:t>None</w:t>
            </w:r>
          </w:p>
        </w:tc>
        <w:tc>
          <w:tcPr>
            <w:tcW w:w="3272"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EB4" w14:textId="074CC661" w:rsidR="00CF2859" w:rsidRPr="00072E13" w:rsidRDefault="00AE3F9E">
            <w:pPr>
              <w:spacing w:line="260" w:lineRule="auto"/>
              <w:rPr>
                <w:rFonts w:ascii="Calibri" w:hAnsi="Calibri" w:cs="Calibri"/>
                <w:sz w:val="17"/>
                <w:szCs w:val="17"/>
              </w:rPr>
            </w:pPr>
            <w:r w:rsidRPr="00072E13">
              <w:rPr>
                <w:rFonts w:ascii="Calibri" w:hAnsi="Calibri" w:cs="Calibri"/>
                <w:color w:val="444444"/>
                <w:sz w:val="17"/>
                <w:szCs w:val="17"/>
              </w:rPr>
              <w:t>Mandatory L3/L4 block is absolute</w:t>
            </w:r>
          </w:p>
        </w:tc>
      </w:tr>
      <w:tr w:rsidR="00CF2859" w:rsidRPr="00AE18A7" w14:paraId="28EF7EB9"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EB6" w14:textId="77777777" w:rsidR="00CF2859" w:rsidRPr="00072E13" w:rsidRDefault="00AE3F9E">
            <w:pPr>
              <w:spacing w:line="260" w:lineRule="auto"/>
              <w:rPr>
                <w:rFonts w:ascii="Calibri" w:hAnsi="Calibri" w:cs="Calibri"/>
                <w:sz w:val="17"/>
                <w:szCs w:val="17"/>
              </w:rPr>
            </w:pPr>
            <w:r w:rsidRPr="00072E13">
              <w:rPr>
                <w:rFonts w:ascii="Calibri" w:hAnsi="Calibri" w:cs="Calibri"/>
                <w:color w:val="444444"/>
                <w:sz w:val="17"/>
                <w:szCs w:val="17"/>
              </w:rPr>
              <w:t>Approval window</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EB7" w14:textId="77777777" w:rsidR="00CF2859" w:rsidRPr="00072E13" w:rsidRDefault="00AE3F9E">
            <w:pPr>
              <w:spacing w:line="260" w:lineRule="auto"/>
              <w:rPr>
                <w:rFonts w:ascii="Calibri" w:hAnsi="Calibri" w:cs="Calibri"/>
                <w:sz w:val="17"/>
                <w:szCs w:val="17"/>
              </w:rPr>
            </w:pPr>
            <w:r w:rsidRPr="00072E13">
              <w:rPr>
                <w:rFonts w:ascii="Calibri" w:hAnsi="Calibri" w:cs="Calibri"/>
                <w:color w:val="444444"/>
                <w:sz w:val="17"/>
                <w:szCs w:val="17"/>
              </w:rPr>
              <w:t>Up to 72 hours</w:t>
            </w:r>
          </w:p>
        </w:tc>
        <w:tc>
          <w:tcPr>
            <w:tcW w:w="327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EB8" w14:textId="77777777" w:rsidR="00CF2859" w:rsidRPr="00072E13" w:rsidRDefault="00AE3F9E">
            <w:pPr>
              <w:spacing w:line="260" w:lineRule="auto"/>
              <w:rPr>
                <w:rFonts w:ascii="Calibri" w:hAnsi="Calibri" w:cs="Calibri"/>
                <w:sz w:val="17"/>
                <w:szCs w:val="17"/>
              </w:rPr>
            </w:pPr>
            <w:r w:rsidRPr="00072E13">
              <w:rPr>
                <w:rFonts w:ascii="Calibri" w:hAnsi="Calibri" w:cs="Calibri"/>
                <w:color w:val="444444"/>
                <w:sz w:val="17"/>
                <w:szCs w:val="17"/>
              </w:rPr>
              <w:t>15 min (L3); 30 min (L4)</w:t>
            </w:r>
          </w:p>
        </w:tc>
      </w:tr>
      <w:tr w:rsidR="00CF2859" w:rsidRPr="00AE18A7" w14:paraId="28EF7EBD" w14:textId="77777777">
        <w:tc>
          <w:tcPr>
            <w:tcW w:w="32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EBA" w14:textId="77777777" w:rsidR="00CF2859" w:rsidRPr="00072E13" w:rsidRDefault="00AE3F9E">
            <w:pPr>
              <w:spacing w:line="260" w:lineRule="auto"/>
              <w:rPr>
                <w:rFonts w:ascii="Calibri" w:hAnsi="Calibri" w:cs="Calibri"/>
                <w:sz w:val="17"/>
                <w:szCs w:val="17"/>
              </w:rPr>
            </w:pPr>
            <w:r w:rsidRPr="00072E13">
              <w:rPr>
                <w:rFonts w:ascii="Calibri" w:hAnsi="Calibri" w:cs="Calibri"/>
                <w:color w:val="444444"/>
                <w:sz w:val="17"/>
                <w:szCs w:val="17"/>
              </w:rPr>
              <w:t>Evidence classes</w:t>
            </w:r>
          </w:p>
        </w:tc>
        <w:tc>
          <w:tcPr>
            <w:tcW w:w="26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EBB" w14:textId="77777777" w:rsidR="00CF2859" w:rsidRPr="00072E13" w:rsidRDefault="00AE3F9E">
            <w:pPr>
              <w:spacing w:line="260" w:lineRule="auto"/>
              <w:rPr>
                <w:rFonts w:ascii="Calibri" w:hAnsi="Calibri" w:cs="Calibri"/>
                <w:sz w:val="17"/>
                <w:szCs w:val="17"/>
              </w:rPr>
            </w:pPr>
            <w:r w:rsidRPr="00072E13">
              <w:rPr>
                <w:rFonts w:ascii="Calibri" w:hAnsi="Calibri" w:cs="Calibri"/>
                <w:color w:val="444444"/>
                <w:sz w:val="17"/>
                <w:szCs w:val="17"/>
              </w:rPr>
              <w:t>4</w:t>
            </w:r>
          </w:p>
        </w:tc>
        <w:tc>
          <w:tcPr>
            <w:tcW w:w="3272"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EBC" w14:textId="77777777" w:rsidR="00CF2859" w:rsidRPr="00072E13" w:rsidRDefault="00AE3F9E">
            <w:pPr>
              <w:spacing w:line="260" w:lineRule="auto"/>
              <w:rPr>
                <w:rFonts w:ascii="Calibri" w:hAnsi="Calibri" w:cs="Calibri"/>
                <w:sz w:val="17"/>
                <w:szCs w:val="17"/>
              </w:rPr>
            </w:pPr>
            <w:r w:rsidRPr="00072E13">
              <w:rPr>
                <w:rFonts w:ascii="Calibri" w:hAnsi="Calibri" w:cs="Calibri"/>
                <w:color w:val="444444"/>
                <w:sz w:val="17"/>
                <w:szCs w:val="17"/>
              </w:rPr>
              <w:t>6 including algorithm-only hard block</w:t>
            </w:r>
          </w:p>
        </w:tc>
      </w:tr>
      <w:tr w:rsidR="00CF2859" w:rsidRPr="00AE18A7" w14:paraId="28EF7EC1"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EBE" w14:textId="77777777" w:rsidR="00CF2859" w:rsidRPr="00072E13" w:rsidRDefault="00AE3F9E">
            <w:pPr>
              <w:spacing w:line="260" w:lineRule="auto"/>
              <w:rPr>
                <w:rFonts w:ascii="Calibri" w:hAnsi="Calibri" w:cs="Calibri"/>
                <w:sz w:val="17"/>
                <w:szCs w:val="17"/>
              </w:rPr>
            </w:pPr>
            <w:r w:rsidRPr="00072E13">
              <w:rPr>
                <w:rFonts w:ascii="Calibri" w:hAnsi="Calibri" w:cs="Calibri"/>
                <w:color w:val="444444"/>
                <w:sz w:val="17"/>
                <w:szCs w:val="17"/>
              </w:rPr>
              <w:t>Known Unknowns</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EBF" w14:textId="77777777" w:rsidR="00CF2859" w:rsidRPr="00072E13" w:rsidRDefault="00AE3F9E">
            <w:pPr>
              <w:spacing w:line="260" w:lineRule="auto"/>
              <w:rPr>
                <w:rFonts w:ascii="Calibri" w:hAnsi="Calibri" w:cs="Calibri"/>
                <w:sz w:val="17"/>
                <w:szCs w:val="17"/>
              </w:rPr>
            </w:pPr>
            <w:r w:rsidRPr="00072E13">
              <w:rPr>
                <w:rFonts w:ascii="Calibri" w:hAnsi="Calibri" w:cs="Calibri"/>
                <w:color w:val="444444"/>
                <w:sz w:val="17"/>
                <w:szCs w:val="17"/>
              </w:rPr>
              <w:t>Confidence degraders</w:t>
            </w:r>
          </w:p>
        </w:tc>
        <w:tc>
          <w:tcPr>
            <w:tcW w:w="327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EC0" w14:textId="77777777" w:rsidR="00CF2859" w:rsidRPr="00072E13" w:rsidRDefault="00AE3F9E">
            <w:pPr>
              <w:spacing w:line="260" w:lineRule="auto"/>
              <w:rPr>
                <w:rFonts w:ascii="Calibri" w:hAnsi="Calibri" w:cs="Calibri"/>
                <w:sz w:val="17"/>
                <w:szCs w:val="17"/>
              </w:rPr>
            </w:pPr>
            <w:r w:rsidRPr="00072E13">
              <w:rPr>
                <w:rFonts w:ascii="Calibri" w:hAnsi="Calibri" w:cs="Calibri"/>
                <w:color w:val="444444"/>
                <w:sz w:val="17"/>
                <w:szCs w:val="17"/>
              </w:rPr>
              <w:t>Selected categories are hard blocks (Appendix A)</w:t>
            </w:r>
          </w:p>
        </w:tc>
      </w:tr>
      <w:tr w:rsidR="00CF2859" w:rsidRPr="00AE18A7" w14:paraId="28EF7EC5" w14:textId="77777777">
        <w:tc>
          <w:tcPr>
            <w:tcW w:w="32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EC2" w14:textId="77777777" w:rsidR="00CF2859" w:rsidRPr="00072E13" w:rsidRDefault="00AE3F9E">
            <w:pPr>
              <w:spacing w:line="260" w:lineRule="auto"/>
              <w:rPr>
                <w:rFonts w:ascii="Calibri" w:hAnsi="Calibri" w:cs="Calibri"/>
                <w:sz w:val="17"/>
                <w:szCs w:val="17"/>
              </w:rPr>
            </w:pPr>
            <w:r w:rsidRPr="00072E13">
              <w:rPr>
                <w:rFonts w:ascii="Calibri" w:hAnsi="Calibri" w:cs="Calibri"/>
                <w:color w:val="444444"/>
                <w:sz w:val="17"/>
                <w:szCs w:val="17"/>
              </w:rPr>
              <w:t>Post-action review</w:t>
            </w:r>
          </w:p>
        </w:tc>
        <w:tc>
          <w:tcPr>
            <w:tcW w:w="26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EC3" w14:textId="77777777" w:rsidR="00CF2859" w:rsidRPr="00072E13" w:rsidRDefault="00AE3F9E">
            <w:pPr>
              <w:spacing w:line="260" w:lineRule="auto"/>
              <w:rPr>
                <w:rFonts w:ascii="Calibri" w:hAnsi="Calibri" w:cs="Calibri"/>
                <w:sz w:val="17"/>
                <w:szCs w:val="17"/>
              </w:rPr>
            </w:pPr>
            <w:r w:rsidRPr="00072E13">
              <w:rPr>
                <w:rFonts w:ascii="Calibri" w:hAnsi="Calibri" w:cs="Calibri"/>
                <w:color w:val="444444"/>
                <w:sz w:val="17"/>
                <w:szCs w:val="17"/>
              </w:rPr>
              <w:t>Not required</w:t>
            </w:r>
          </w:p>
        </w:tc>
        <w:tc>
          <w:tcPr>
            <w:tcW w:w="3272"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EC4" w14:textId="77777777" w:rsidR="00CF2859" w:rsidRPr="00072E13" w:rsidRDefault="00AE3F9E">
            <w:pPr>
              <w:spacing w:line="260" w:lineRule="auto"/>
              <w:rPr>
                <w:rFonts w:ascii="Calibri" w:hAnsi="Calibri" w:cs="Calibri"/>
                <w:sz w:val="17"/>
                <w:szCs w:val="17"/>
              </w:rPr>
            </w:pPr>
            <w:r w:rsidRPr="00072E13">
              <w:rPr>
                <w:rFonts w:ascii="Calibri" w:hAnsi="Calibri" w:cs="Calibri"/>
                <w:color w:val="444444"/>
                <w:sz w:val="17"/>
                <w:szCs w:val="17"/>
              </w:rPr>
              <w:t>Mandatory L3+, automatic trigger</w:t>
            </w:r>
          </w:p>
        </w:tc>
      </w:tr>
      <w:tr w:rsidR="00CF2859" w:rsidRPr="00AE18A7" w14:paraId="28EF7EC9"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EC6" w14:textId="77777777" w:rsidR="00CF2859" w:rsidRPr="00072E13" w:rsidRDefault="00AE3F9E">
            <w:pPr>
              <w:spacing w:line="260" w:lineRule="auto"/>
              <w:rPr>
                <w:rFonts w:ascii="Calibri" w:hAnsi="Calibri" w:cs="Calibri"/>
                <w:sz w:val="17"/>
                <w:szCs w:val="17"/>
              </w:rPr>
            </w:pPr>
            <w:r w:rsidRPr="00072E13">
              <w:rPr>
                <w:rFonts w:ascii="Calibri" w:hAnsi="Calibri" w:cs="Calibri"/>
                <w:color w:val="444444"/>
                <w:sz w:val="17"/>
                <w:szCs w:val="17"/>
              </w:rPr>
              <w:t>Audit retention</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EC7" w14:textId="77777777" w:rsidR="00CF2859" w:rsidRPr="00072E13" w:rsidRDefault="00AE3F9E">
            <w:pPr>
              <w:spacing w:line="260" w:lineRule="auto"/>
              <w:rPr>
                <w:rFonts w:ascii="Calibri" w:hAnsi="Calibri" w:cs="Calibri"/>
                <w:sz w:val="17"/>
                <w:szCs w:val="17"/>
              </w:rPr>
            </w:pPr>
            <w:r w:rsidRPr="00072E13">
              <w:rPr>
                <w:rFonts w:ascii="Calibri" w:hAnsi="Calibri" w:cs="Calibri"/>
                <w:color w:val="444444"/>
                <w:sz w:val="17"/>
                <w:szCs w:val="17"/>
              </w:rPr>
              <w:t>Organisational policy</w:t>
            </w:r>
          </w:p>
        </w:tc>
        <w:tc>
          <w:tcPr>
            <w:tcW w:w="327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EC8" w14:textId="77777777" w:rsidR="00CF2859" w:rsidRPr="00072E13" w:rsidRDefault="00AE3F9E">
            <w:pPr>
              <w:spacing w:line="260" w:lineRule="auto"/>
              <w:rPr>
                <w:rFonts w:ascii="Calibri" w:hAnsi="Calibri" w:cs="Calibri"/>
                <w:sz w:val="17"/>
                <w:szCs w:val="17"/>
              </w:rPr>
            </w:pPr>
            <w:r w:rsidRPr="00072E13">
              <w:rPr>
                <w:rFonts w:ascii="Calibri" w:hAnsi="Calibri" w:cs="Calibri"/>
                <w:color w:val="444444"/>
                <w:sz w:val="17"/>
                <w:szCs w:val="17"/>
              </w:rPr>
              <w:t>20 years minimum, non-destructible</w:t>
            </w:r>
          </w:p>
        </w:tc>
      </w:tr>
      <w:tr w:rsidR="00CF2859" w:rsidRPr="00AE18A7" w14:paraId="28EF7ECD" w14:textId="77777777">
        <w:tc>
          <w:tcPr>
            <w:tcW w:w="32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ECA" w14:textId="77777777" w:rsidR="00CF2859" w:rsidRPr="00072E13" w:rsidRDefault="00AE3F9E">
            <w:pPr>
              <w:spacing w:line="260" w:lineRule="auto"/>
              <w:rPr>
                <w:rFonts w:ascii="Calibri" w:hAnsi="Calibri" w:cs="Calibri"/>
                <w:sz w:val="17"/>
                <w:szCs w:val="17"/>
              </w:rPr>
            </w:pPr>
            <w:r w:rsidRPr="00072E13">
              <w:rPr>
                <w:rFonts w:ascii="Calibri" w:hAnsi="Calibri" w:cs="Calibri"/>
                <w:color w:val="444444"/>
                <w:sz w:val="17"/>
                <w:szCs w:val="17"/>
              </w:rPr>
              <w:t>Cognitive confirmation</w:t>
            </w:r>
          </w:p>
        </w:tc>
        <w:tc>
          <w:tcPr>
            <w:tcW w:w="26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ECB" w14:textId="77777777" w:rsidR="00CF2859" w:rsidRPr="00072E13" w:rsidRDefault="00AE3F9E">
            <w:pPr>
              <w:spacing w:line="260" w:lineRule="auto"/>
              <w:rPr>
                <w:rFonts w:ascii="Calibri" w:hAnsi="Calibri" w:cs="Calibri"/>
                <w:sz w:val="17"/>
                <w:szCs w:val="17"/>
              </w:rPr>
            </w:pPr>
            <w:r w:rsidRPr="00072E13">
              <w:rPr>
                <w:rFonts w:ascii="Calibri" w:hAnsi="Calibri" w:cs="Calibri"/>
                <w:color w:val="444444"/>
                <w:sz w:val="17"/>
                <w:szCs w:val="17"/>
              </w:rPr>
              <w:t>Not required</w:t>
            </w:r>
          </w:p>
        </w:tc>
        <w:tc>
          <w:tcPr>
            <w:tcW w:w="3272"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ECC" w14:textId="77777777" w:rsidR="00CF2859" w:rsidRPr="00072E13" w:rsidRDefault="00AE3F9E">
            <w:pPr>
              <w:spacing w:line="260" w:lineRule="auto"/>
              <w:rPr>
                <w:rFonts w:ascii="Calibri" w:hAnsi="Calibri" w:cs="Calibri"/>
                <w:sz w:val="17"/>
                <w:szCs w:val="17"/>
              </w:rPr>
            </w:pPr>
            <w:r w:rsidRPr="00072E13">
              <w:rPr>
                <w:rFonts w:ascii="Calibri" w:hAnsi="Calibri" w:cs="Calibri"/>
                <w:color w:val="444444"/>
                <w:sz w:val="17"/>
                <w:szCs w:val="17"/>
              </w:rPr>
              <w:t>Mandatory anti-automation-bias interface</w:t>
            </w:r>
          </w:p>
        </w:tc>
      </w:tr>
      <w:tr w:rsidR="00CF2859" w:rsidRPr="00AE18A7" w14:paraId="28EF7ED1"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ECE" w14:textId="77777777" w:rsidR="00CF2859" w:rsidRPr="00072E13" w:rsidRDefault="00AE3F9E">
            <w:pPr>
              <w:spacing w:line="260" w:lineRule="auto"/>
              <w:rPr>
                <w:rFonts w:ascii="Calibri" w:hAnsi="Calibri" w:cs="Calibri"/>
                <w:sz w:val="17"/>
                <w:szCs w:val="17"/>
              </w:rPr>
            </w:pPr>
            <w:r w:rsidRPr="00072E13">
              <w:rPr>
                <w:rFonts w:ascii="Calibri" w:hAnsi="Calibri" w:cs="Calibri"/>
                <w:color w:val="444444"/>
                <w:sz w:val="17"/>
                <w:szCs w:val="17"/>
              </w:rPr>
              <w:t>IHL mapping</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ECF" w14:textId="77777777" w:rsidR="00CF2859" w:rsidRPr="00072E13" w:rsidRDefault="00AE3F9E">
            <w:pPr>
              <w:spacing w:line="260" w:lineRule="auto"/>
              <w:rPr>
                <w:rFonts w:ascii="Calibri" w:hAnsi="Calibri" w:cs="Calibri"/>
                <w:sz w:val="17"/>
                <w:szCs w:val="17"/>
              </w:rPr>
            </w:pPr>
            <w:r w:rsidRPr="00072E13">
              <w:rPr>
                <w:rFonts w:ascii="Calibri" w:hAnsi="Calibri" w:cs="Calibri"/>
                <w:color w:val="444444"/>
                <w:sz w:val="17"/>
                <w:szCs w:val="17"/>
              </w:rPr>
              <w:t>Not applicable</w:t>
            </w:r>
          </w:p>
        </w:tc>
        <w:tc>
          <w:tcPr>
            <w:tcW w:w="327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ED0" w14:textId="213CADBC" w:rsidR="00CF2859" w:rsidRPr="00072E13" w:rsidRDefault="00AE3F9E">
            <w:pPr>
              <w:spacing w:line="260" w:lineRule="auto"/>
              <w:rPr>
                <w:rFonts w:ascii="Calibri" w:hAnsi="Calibri" w:cs="Calibri"/>
                <w:sz w:val="17"/>
                <w:szCs w:val="17"/>
              </w:rPr>
            </w:pPr>
            <w:r w:rsidRPr="00072E13">
              <w:rPr>
                <w:rFonts w:ascii="Calibri" w:hAnsi="Calibri" w:cs="Calibri"/>
                <w:color w:val="444444"/>
                <w:sz w:val="17"/>
                <w:szCs w:val="17"/>
              </w:rPr>
              <w:t>Full mapping Section 12 and Appendix B</w:t>
            </w:r>
          </w:p>
        </w:tc>
      </w:tr>
      <w:tr w:rsidR="00CF2859" w:rsidRPr="00AE18A7" w14:paraId="28EF7ED5" w14:textId="77777777">
        <w:tc>
          <w:tcPr>
            <w:tcW w:w="32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ED2" w14:textId="77777777" w:rsidR="00CF2859" w:rsidRPr="00072E13" w:rsidRDefault="00AE3F9E">
            <w:pPr>
              <w:spacing w:line="260" w:lineRule="auto"/>
              <w:rPr>
                <w:rFonts w:ascii="Calibri" w:hAnsi="Calibri" w:cs="Calibri"/>
                <w:sz w:val="17"/>
                <w:szCs w:val="17"/>
              </w:rPr>
            </w:pPr>
            <w:r w:rsidRPr="00072E13">
              <w:rPr>
                <w:rFonts w:ascii="Calibri" w:hAnsi="Calibri" w:cs="Calibri"/>
                <w:color w:val="444444"/>
                <w:sz w:val="17"/>
                <w:szCs w:val="17"/>
              </w:rPr>
              <w:t>Governing rules</w:t>
            </w:r>
          </w:p>
        </w:tc>
        <w:tc>
          <w:tcPr>
            <w:tcW w:w="26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ED3" w14:textId="77777777" w:rsidR="00CF2859" w:rsidRPr="00072E13" w:rsidRDefault="00AE3F9E">
            <w:pPr>
              <w:spacing w:line="260" w:lineRule="auto"/>
              <w:rPr>
                <w:rFonts w:ascii="Calibri" w:hAnsi="Calibri" w:cs="Calibri"/>
                <w:sz w:val="17"/>
                <w:szCs w:val="17"/>
              </w:rPr>
            </w:pPr>
            <w:r w:rsidRPr="00072E13">
              <w:rPr>
                <w:rFonts w:ascii="Calibri" w:hAnsi="Calibri" w:cs="Calibri"/>
                <w:color w:val="444444"/>
                <w:sz w:val="17"/>
                <w:szCs w:val="17"/>
              </w:rPr>
              <w:t>GR-001 to GR-010</w:t>
            </w:r>
          </w:p>
        </w:tc>
        <w:tc>
          <w:tcPr>
            <w:tcW w:w="3272"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ED4" w14:textId="77777777" w:rsidR="00CF2859" w:rsidRPr="00072E13" w:rsidRDefault="00AE3F9E">
            <w:pPr>
              <w:spacing w:line="260" w:lineRule="auto"/>
              <w:rPr>
                <w:rFonts w:ascii="Calibri" w:hAnsi="Calibri" w:cs="Calibri"/>
                <w:sz w:val="17"/>
                <w:szCs w:val="17"/>
              </w:rPr>
            </w:pPr>
            <w:r w:rsidRPr="00072E13">
              <w:rPr>
                <w:rFonts w:ascii="Calibri" w:hAnsi="Calibri" w:cs="Calibri"/>
                <w:color w:val="444444"/>
                <w:sz w:val="17"/>
                <w:szCs w:val="17"/>
              </w:rPr>
              <w:t>GR-001 to GR-010 + LGF-GR-001 to LGF-GR-012</w:t>
            </w:r>
          </w:p>
        </w:tc>
      </w:tr>
    </w:tbl>
    <w:p w14:paraId="28EF7ED6" w14:textId="77777777" w:rsidR="00CF2859" w:rsidRPr="00AE18A7" w:rsidRDefault="00CF2859">
      <w:pPr>
        <w:spacing w:before="80"/>
        <w:rPr>
          <w:rFonts w:ascii="Calibri" w:hAnsi="Calibri" w:cs="Calibri"/>
        </w:rPr>
      </w:pPr>
    </w:p>
    <w:p w14:paraId="28EF7ED7" w14:textId="77777777" w:rsidR="00CF2859" w:rsidRPr="00AE18A7" w:rsidRDefault="00AE3F9E" w:rsidP="00EB5C87">
      <w:pPr>
        <w:pStyle w:val="Heading10"/>
      </w:pPr>
      <w:bookmarkStart w:id="28" w:name="_Toc229741693"/>
      <w:r w:rsidRPr="00AE18A7">
        <w:t>16. Recommendations to Policymakers</w:t>
      </w:r>
      <w:bookmarkEnd w:id="28"/>
    </w:p>
    <w:p w14:paraId="28EF7ED8" w14:textId="77777777" w:rsidR="00CF2859" w:rsidRPr="00AE18A7" w:rsidRDefault="00CF2859">
      <w:pPr>
        <w:spacing w:before="40"/>
        <w:rPr>
          <w:rFonts w:ascii="Calibri" w:hAnsi="Calibri" w:cs="Calibri"/>
        </w:rPr>
      </w:pPr>
    </w:p>
    <w:p w14:paraId="28EF7ED9" w14:textId="13C5B2DE" w:rsidR="00CF2859" w:rsidRPr="00AE18A7" w:rsidRDefault="00AE3F9E">
      <w:pPr>
        <w:spacing w:line="276" w:lineRule="auto"/>
        <w:rPr>
          <w:rFonts w:ascii="Calibri" w:hAnsi="Calibri" w:cs="Calibri"/>
        </w:rPr>
      </w:pPr>
      <w:r w:rsidRPr="00AE18A7">
        <w:rPr>
          <w:rFonts w:ascii="Calibri" w:hAnsi="Calibri" w:cs="Calibri"/>
        </w:rPr>
        <w:t>Mandate governance architecture standards. The CCW GGE process should incorporate minimum governance architecture requirements not just principles for AI systems involved in targeting chains. The Maven controversy demonstrated that principles without architecture are insufficient.</w:t>
      </w:r>
    </w:p>
    <w:p w14:paraId="28EF7EDA" w14:textId="77777777" w:rsidR="00CF2859" w:rsidRPr="00AE18A7" w:rsidRDefault="00CF2859">
      <w:pPr>
        <w:spacing w:before="40"/>
        <w:rPr>
          <w:rFonts w:ascii="Calibri" w:hAnsi="Calibri" w:cs="Calibri"/>
        </w:rPr>
      </w:pPr>
    </w:p>
    <w:p w14:paraId="28EF7EDB" w14:textId="77777777" w:rsidR="00CF2859" w:rsidRPr="00AE18A7" w:rsidRDefault="00AE3F9E">
      <w:pPr>
        <w:spacing w:line="276" w:lineRule="auto"/>
        <w:rPr>
          <w:rFonts w:ascii="Calibri" w:hAnsi="Calibri" w:cs="Calibri"/>
        </w:rPr>
      </w:pPr>
      <w:r w:rsidRPr="00AE18A7">
        <w:rPr>
          <w:rFonts w:ascii="Calibri" w:hAnsi="Calibri" w:cs="Calibri"/>
        </w:rPr>
        <w:t>Require independent audit. States deploying AI in targeting chains should subject their governance architecture to independent technical and legal audit. The absence of a public governance architecture description should be treated as a public-verifiability gap, not as proof that controls do not exist.</w:t>
      </w:r>
    </w:p>
    <w:p w14:paraId="28EF7EDC" w14:textId="77777777" w:rsidR="00CF2859" w:rsidRPr="00AE18A7" w:rsidRDefault="00CF2859">
      <w:pPr>
        <w:spacing w:before="40"/>
        <w:rPr>
          <w:rFonts w:ascii="Calibri" w:hAnsi="Calibri" w:cs="Calibri"/>
        </w:rPr>
      </w:pPr>
    </w:p>
    <w:p w14:paraId="28EF7EDD" w14:textId="77777777" w:rsidR="00CF2859" w:rsidRPr="00AE18A7" w:rsidRDefault="00AE3F9E">
      <w:pPr>
        <w:spacing w:line="276" w:lineRule="auto"/>
        <w:rPr>
          <w:rFonts w:ascii="Calibri" w:hAnsi="Calibri" w:cs="Calibri"/>
        </w:rPr>
      </w:pPr>
      <w:r w:rsidRPr="00AE18A7">
        <w:rPr>
          <w:rFonts w:ascii="Calibri" w:hAnsi="Calibri" w:cs="Calibri"/>
        </w:rPr>
        <w:t>Treat algorithm-only identification as prohibited. No lethal action should be permissible based solely on AI identification without human intelligence source confirmation. This bright line should be treaty-codified.</w:t>
      </w:r>
    </w:p>
    <w:p w14:paraId="28EF7EDE" w14:textId="77777777" w:rsidR="00CF2859" w:rsidRPr="00AE18A7" w:rsidRDefault="00CF2859">
      <w:pPr>
        <w:spacing w:before="40"/>
        <w:rPr>
          <w:rFonts w:ascii="Calibri" w:hAnsi="Calibri" w:cs="Calibri"/>
        </w:rPr>
      </w:pPr>
    </w:p>
    <w:p w14:paraId="28EF7EDF" w14:textId="77777777" w:rsidR="00CF2859" w:rsidRPr="00AE18A7" w:rsidRDefault="00AE3F9E">
      <w:pPr>
        <w:spacing w:line="276" w:lineRule="auto"/>
        <w:rPr>
          <w:rFonts w:ascii="Calibri" w:hAnsi="Calibri" w:cs="Calibri"/>
        </w:rPr>
      </w:pPr>
      <w:r w:rsidRPr="00AE18A7">
        <w:rPr>
          <w:rFonts w:ascii="Calibri" w:hAnsi="Calibri" w:cs="Calibri"/>
        </w:rPr>
        <w:t>Invoke AP I Article 36 reviews. States party to Additional Protocol I should assess whether AI targeting-support systems affect weapons, means, or methods of warfare in a manner requiring Article 36 review, and should use EAAP-LGF or an equivalent framework as a governance reference architecture where applicable.</w:t>
      </w:r>
    </w:p>
    <w:p w14:paraId="28EF7EE0" w14:textId="77777777" w:rsidR="00CF2859" w:rsidRPr="00AE18A7" w:rsidRDefault="00CF2859">
      <w:pPr>
        <w:spacing w:before="40"/>
        <w:rPr>
          <w:rFonts w:ascii="Calibri" w:hAnsi="Calibri" w:cs="Calibri"/>
        </w:rPr>
      </w:pPr>
    </w:p>
    <w:p w14:paraId="28EF7EE1" w14:textId="77777777" w:rsidR="00CF2859" w:rsidRPr="00AE18A7" w:rsidRDefault="00AE3F9E">
      <w:pPr>
        <w:spacing w:line="276" w:lineRule="auto"/>
        <w:rPr>
          <w:rFonts w:ascii="Calibri" w:hAnsi="Calibri" w:cs="Calibri"/>
        </w:rPr>
      </w:pPr>
      <w:r w:rsidRPr="00AE18A7">
        <w:rPr>
          <w:rFonts w:ascii="Calibri" w:hAnsi="Calibri" w:cs="Calibri"/>
        </w:rPr>
        <w:t>Mandate post-action accountability mechanisms. Every lethal action involving AI recommendation support should produce an immutable audit trail suitable for review by competent accountability mechanisms under applicable legal authority.</w:t>
      </w:r>
    </w:p>
    <w:p w14:paraId="28EF7EE2" w14:textId="77777777" w:rsidR="00CF2859" w:rsidRPr="00AE18A7" w:rsidRDefault="00CF2859">
      <w:pPr>
        <w:spacing w:before="40"/>
        <w:rPr>
          <w:rFonts w:ascii="Calibri" w:hAnsi="Calibri" w:cs="Calibri"/>
        </w:rPr>
      </w:pPr>
    </w:p>
    <w:p w14:paraId="28EF7EE3" w14:textId="77777777" w:rsidR="00CF2859" w:rsidRPr="00AE18A7" w:rsidRDefault="00AE3F9E">
      <w:pPr>
        <w:spacing w:line="276" w:lineRule="auto"/>
        <w:rPr>
          <w:rFonts w:ascii="Calibri" w:hAnsi="Calibri" w:cs="Calibri"/>
        </w:rPr>
      </w:pPr>
      <w:r w:rsidRPr="00AE18A7">
        <w:rPr>
          <w:rFonts w:ascii="Calibri" w:hAnsi="Calibri" w:cs="Calibri"/>
        </w:rPr>
        <w:t>Invest in IHL-AI research. The calibration, LCA encoding, and CDE modelling gaps in Section 14 require sustained research investment that no single state or organisation can provide alone.</w:t>
      </w:r>
    </w:p>
    <w:p w14:paraId="28EF7EE4" w14:textId="77777777" w:rsidR="00CF2859" w:rsidRPr="00AE18A7" w:rsidRDefault="00CF2859">
      <w:pPr>
        <w:spacing w:before="40"/>
        <w:rPr>
          <w:rFonts w:ascii="Calibri" w:hAnsi="Calibri" w:cs="Calibri"/>
        </w:rPr>
      </w:pPr>
    </w:p>
    <w:p w14:paraId="28EF7EE5" w14:textId="77777777" w:rsidR="00CF2859" w:rsidRPr="00AE18A7" w:rsidRDefault="00AE3F9E">
      <w:pPr>
        <w:spacing w:line="276" w:lineRule="auto"/>
        <w:rPr>
          <w:rFonts w:ascii="Calibri" w:hAnsi="Calibri" w:cs="Calibri"/>
        </w:rPr>
      </w:pPr>
      <w:r w:rsidRPr="00AE18A7">
        <w:rPr>
          <w:rFonts w:ascii="Calibri" w:hAnsi="Calibri" w:cs="Calibri"/>
        </w:rPr>
        <w:t>Move toward a legally binding instrument on LAWS. EAAP-LGF describes minimum requirements for AI-assisted lethal decision support. A legally binding prohibition on systems that select and engage targets without meaningful human control is required as a complement.</w:t>
      </w:r>
    </w:p>
    <w:p w14:paraId="28EF7EE6" w14:textId="77777777" w:rsidR="00CF2859" w:rsidRPr="00AE18A7" w:rsidRDefault="00CF2859">
      <w:pPr>
        <w:spacing w:before="80"/>
        <w:rPr>
          <w:rFonts w:ascii="Calibri" w:hAnsi="Calibri" w:cs="Calibri"/>
        </w:rPr>
      </w:pPr>
    </w:p>
    <w:p w14:paraId="28EF7EE7" w14:textId="77777777" w:rsidR="00CF2859" w:rsidRPr="00AE18A7" w:rsidRDefault="00AE3F9E" w:rsidP="00EB5C87">
      <w:pPr>
        <w:pStyle w:val="Heading10"/>
      </w:pPr>
      <w:bookmarkStart w:id="29" w:name="_Toc229741694"/>
      <w:r w:rsidRPr="00AE18A7">
        <w:t>17. Conclusion</w:t>
      </w:r>
      <w:bookmarkEnd w:id="29"/>
    </w:p>
    <w:p w14:paraId="28EF7EE8" w14:textId="1F64BDFC" w:rsidR="00CF2859" w:rsidRPr="00AE18A7" w:rsidRDefault="00AE3F9E">
      <w:pPr>
        <w:spacing w:before="80" w:line="276" w:lineRule="auto"/>
        <w:rPr>
          <w:rFonts w:ascii="Calibri" w:hAnsi="Calibri" w:cs="Calibri"/>
        </w:rPr>
      </w:pPr>
      <w:r w:rsidRPr="00AE18A7">
        <w:rPr>
          <w:rFonts w:ascii="Calibri" w:hAnsi="Calibri" w:cs="Calibri"/>
        </w:rPr>
        <w:t>Project Maven, the most publicly documented AI targeting support programme, generated significant public controversy without generating a public architectural account sufficient to verify how the governance questions raised by that controversy were resolved. This paper has presented EAAP-LGF as a concrete technical specification of the governance architecture that would need to exist for those questions to be affirmatively and verifiably answered.</w:t>
      </w:r>
    </w:p>
    <w:p w14:paraId="28EF7EE9" w14:textId="77777777" w:rsidR="00CF2859" w:rsidRPr="00AE18A7" w:rsidRDefault="00AE3F9E">
      <w:pPr>
        <w:spacing w:before="80" w:line="276" w:lineRule="auto"/>
        <w:rPr>
          <w:rFonts w:ascii="Calibri" w:hAnsi="Calibri" w:cs="Calibri"/>
        </w:rPr>
      </w:pPr>
      <w:r w:rsidRPr="00AE18A7">
        <w:rPr>
          <w:rFonts w:ascii="Calibri" w:hAnsi="Calibri" w:cs="Calibri"/>
        </w:rPr>
        <w:t>The framework addresses five structural gaps in currently described programmes, each mapping directly to a governance question raised by the Maven controversy that remains publicly unanswered in architectural terms. Its central contributions are: a cryptographically enforced Prohibition Layer grounded in IHL that is structurally non-overridable; the categorical prohibition on algorithm-only target identification; the multi-authoriser requirement with mandatory independent legal advisor participation; the anti-automation-bias interface requirements; and mandatory post-action review with automatic triggering and systematic discrepancy detection.</w:t>
      </w:r>
    </w:p>
    <w:p w14:paraId="28EF7EEA" w14:textId="77777777" w:rsidR="00CF2859" w:rsidRPr="00AE18A7" w:rsidRDefault="00AE3F9E">
      <w:pPr>
        <w:spacing w:before="80" w:line="276" w:lineRule="auto"/>
        <w:rPr>
          <w:rFonts w:ascii="Calibri" w:hAnsi="Calibri" w:cs="Calibri"/>
        </w:rPr>
      </w:pPr>
      <w:r w:rsidRPr="00AE18A7">
        <w:rPr>
          <w:rFonts w:ascii="Calibri" w:hAnsi="Calibri" w:cs="Calibri"/>
        </w:rPr>
        <w:t>This version includes a systematic mapping of the framework's requirements to their IHL legal basis (Section 12), including the argument that AI systems affecting targeting chains may create material Article 36 review issues depending on their role, jurisdiction, and operational context. Known Unknowns that function as categorical hard blocks are consolidated in Appendix A, and the illustrative LCA criteria with IHL article citations are provided in Appendix B.</w:t>
      </w:r>
    </w:p>
    <w:p w14:paraId="28EF7EEB" w14:textId="032FB209" w:rsidR="00CF2859" w:rsidRPr="00AE18A7" w:rsidRDefault="00AE3F9E">
      <w:pPr>
        <w:spacing w:before="80" w:line="276" w:lineRule="auto"/>
        <w:rPr>
          <w:rFonts w:ascii="Calibri" w:hAnsi="Calibri" w:cs="Calibri"/>
        </w:rPr>
      </w:pPr>
      <w:r w:rsidRPr="00AE18A7">
        <w:rPr>
          <w:rFonts w:ascii="Calibri" w:hAnsi="Calibri" w:cs="Calibri"/>
        </w:rPr>
        <w:t>The most important single requirement is stated in LGF-GR-010: the AI system recommends. It does not decide. It does not execute. Decision and execution are human responsibilities that this architecture supports, structures, constrains, and audits but does not replace.</w:t>
      </w:r>
    </w:p>
    <w:p w14:paraId="28EF7EEC" w14:textId="77777777" w:rsidR="00CF2859" w:rsidRPr="00AE18A7" w:rsidRDefault="00CF2859">
      <w:pPr>
        <w:spacing w:before="80"/>
        <w:rPr>
          <w:rFonts w:ascii="Calibri" w:hAnsi="Calibri" w:cs="Calibri"/>
        </w:rPr>
      </w:pPr>
    </w:p>
    <w:p w14:paraId="28EF7EED" w14:textId="77777777" w:rsidR="00CF2859" w:rsidRPr="00AE18A7" w:rsidRDefault="00AE3F9E">
      <w:pPr>
        <w:rPr>
          <w:rFonts w:ascii="Calibri" w:hAnsi="Calibri" w:cs="Calibri"/>
        </w:rPr>
      </w:pPr>
      <w:r w:rsidRPr="00AE18A7">
        <w:rPr>
          <w:rFonts w:ascii="Calibri" w:hAnsi="Calibri" w:cs="Calibri"/>
        </w:rPr>
        <w:br w:type="page"/>
      </w:r>
    </w:p>
    <w:p w14:paraId="28EF7EEE" w14:textId="77777777" w:rsidR="00CF2859" w:rsidRPr="00AE18A7" w:rsidRDefault="00AE3F9E" w:rsidP="00EB5C87">
      <w:pPr>
        <w:pStyle w:val="Heading10"/>
      </w:pPr>
      <w:bookmarkStart w:id="30" w:name="_Toc229741695"/>
      <w:r w:rsidRPr="00AE18A7">
        <w:lastRenderedPageBreak/>
        <w:t>References</w:t>
      </w:r>
      <w:bookmarkEnd w:id="30"/>
    </w:p>
    <w:p w14:paraId="28EF7EEF" w14:textId="77777777" w:rsidR="00CF2859" w:rsidRPr="00AE18A7" w:rsidRDefault="00CF2859">
      <w:pPr>
        <w:pBdr>
          <w:bottom w:val="single" w:sz="3" w:space="0" w:color="1A1A1A"/>
        </w:pBdr>
        <w:spacing w:after="120"/>
        <w:rPr>
          <w:rFonts w:ascii="Calibri" w:hAnsi="Calibri" w:cs="Calibri"/>
        </w:rPr>
      </w:pPr>
    </w:p>
    <w:p w14:paraId="28EF7EF0" w14:textId="77777777" w:rsidR="00CF2859" w:rsidRPr="00AE18A7" w:rsidRDefault="00AE3F9E">
      <w:pPr>
        <w:spacing w:before="50" w:line="260" w:lineRule="auto"/>
        <w:ind w:left="440" w:hanging="440"/>
        <w:rPr>
          <w:rFonts w:ascii="Calibri" w:hAnsi="Calibri" w:cs="Calibri"/>
        </w:rPr>
      </w:pPr>
      <w:r w:rsidRPr="00AE18A7">
        <w:rPr>
          <w:rFonts w:ascii="Calibri" w:hAnsi="Calibri" w:cs="Calibri"/>
        </w:rPr>
        <w:t>[1] International Committee of the Red Cross (ICRC). (2021). ICRC Position on Autonomous Weapons Systems. Geneva: ICRC.</w:t>
      </w:r>
    </w:p>
    <w:p w14:paraId="28EF7EF1" w14:textId="77777777" w:rsidR="00CF2859" w:rsidRPr="00AE18A7" w:rsidRDefault="00AE3F9E">
      <w:pPr>
        <w:spacing w:before="50" w:line="260" w:lineRule="auto"/>
        <w:ind w:left="440" w:hanging="440"/>
        <w:rPr>
          <w:rFonts w:ascii="Calibri" w:hAnsi="Calibri" w:cs="Calibri"/>
        </w:rPr>
      </w:pPr>
      <w:r w:rsidRPr="00AE18A7">
        <w:rPr>
          <w:rFonts w:ascii="Calibri" w:hAnsi="Calibri" w:cs="Calibri"/>
        </w:rPr>
        <w:t>[2] Heyns, C. (2013). Report of the Special Rapporteur on extrajudicial, summary or arbitrary executions. UN Doc A/HRC/23/47. United Nations Human Rights Council.</w:t>
      </w:r>
    </w:p>
    <w:p w14:paraId="28EF7EF2" w14:textId="77777777" w:rsidR="00CF2859" w:rsidRPr="00AE18A7" w:rsidRDefault="00AE3F9E">
      <w:pPr>
        <w:spacing w:before="50" w:line="260" w:lineRule="auto"/>
        <w:ind w:left="440" w:hanging="440"/>
        <w:rPr>
          <w:rFonts w:ascii="Calibri" w:hAnsi="Calibri" w:cs="Calibri"/>
        </w:rPr>
      </w:pPr>
      <w:r w:rsidRPr="00AE18A7">
        <w:rPr>
          <w:rFonts w:ascii="Calibri" w:hAnsi="Calibri" w:cs="Calibri"/>
        </w:rPr>
        <w:t>[3] Human Rights Watch and International Human Rights Clinic. (2012). Losing Humanity: The Case Against Killer Robots. New York: Human Rights Watch.</w:t>
      </w:r>
    </w:p>
    <w:p w14:paraId="28EF7EF3" w14:textId="6908E5F6" w:rsidR="00CF2859" w:rsidRPr="00AE18A7" w:rsidRDefault="000F50BA">
      <w:pPr>
        <w:spacing w:before="50" w:line="260" w:lineRule="auto"/>
        <w:ind w:left="440" w:hanging="440"/>
        <w:rPr>
          <w:rFonts w:ascii="Calibri" w:hAnsi="Calibri" w:cs="Calibri"/>
        </w:rPr>
      </w:pPr>
      <w:r w:rsidRPr="00AE18A7">
        <w:rPr>
          <w:rFonts w:ascii="Calibri" w:hAnsi="Calibri" w:cs="Calibri"/>
          <w:lang w:val="en-GB"/>
        </w:rPr>
        <w:t xml:space="preserve"> </w:t>
      </w:r>
      <w:r w:rsidR="00AE3F9E" w:rsidRPr="00AE18A7">
        <w:rPr>
          <w:rFonts w:ascii="Calibri" w:hAnsi="Calibri" w:cs="Calibri"/>
        </w:rPr>
        <w:t xml:space="preserve">[4] Goulden, J. (2026). EAAP - Enterprise AI Architecture Pattern: A Governance Architecture for Deterministic Enterprise AI Systems. Zenodo. </w:t>
      </w:r>
      <w:hyperlink r:id="rId9" w:history="1">
        <w:r w:rsidR="001E4C60" w:rsidRPr="00AE18A7">
          <w:rPr>
            <w:rStyle w:val="Hyperlink"/>
            <w:rFonts w:ascii="Calibri" w:hAnsi="Calibri" w:cs="Calibri"/>
          </w:rPr>
          <w:t>https://doi.org/10.5281/zenodo.20085547</w:t>
        </w:r>
      </w:hyperlink>
      <w:r w:rsidR="001E4C60" w:rsidRPr="00AE18A7">
        <w:rPr>
          <w:rFonts w:ascii="Calibri" w:hAnsi="Calibri" w:cs="Calibri"/>
        </w:rPr>
        <w:t xml:space="preserve"> </w:t>
      </w:r>
      <w:r w:rsidR="00AE3F9E" w:rsidRPr="00AE18A7">
        <w:rPr>
          <w:rFonts w:ascii="Calibri" w:hAnsi="Calibri" w:cs="Calibri"/>
        </w:rPr>
        <w:t xml:space="preserve"> </w:t>
      </w:r>
    </w:p>
    <w:p w14:paraId="28EF7EF4" w14:textId="77777777" w:rsidR="00CF2859" w:rsidRPr="00AE18A7" w:rsidRDefault="00AE3F9E">
      <w:pPr>
        <w:spacing w:before="50" w:line="260" w:lineRule="auto"/>
        <w:ind w:left="440" w:hanging="440"/>
        <w:rPr>
          <w:rFonts w:ascii="Calibri" w:hAnsi="Calibri" w:cs="Calibri"/>
        </w:rPr>
      </w:pPr>
      <w:r w:rsidRPr="00AE18A7">
        <w:rPr>
          <w:rFonts w:ascii="Calibri" w:hAnsi="Calibri" w:cs="Calibri"/>
        </w:rPr>
        <w:t>[5] United Nations. (2014-2026). Report of the Group of Governmental Experts on Lethal Autonomous Weapons Systems. Convention on Certain Conventional Weapons (CCW). Geneva.</w:t>
      </w:r>
    </w:p>
    <w:p w14:paraId="28EF7EF5" w14:textId="77777777" w:rsidR="00CF2859" w:rsidRPr="00AE18A7" w:rsidRDefault="00AE3F9E">
      <w:pPr>
        <w:spacing w:before="50" w:line="260" w:lineRule="auto"/>
        <w:ind w:left="440" w:hanging="440"/>
        <w:rPr>
          <w:rFonts w:ascii="Calibri" w:hAnsi="Calibri" w:cs="Calibri"/>
        </w:rPr>
      </w:pPr>
      <w:r w:rsidRPr="00AE18A7">
        <w:rPr>
          <w:rFonts w:ascii="Calibri" w:hAnsi="Calibri" w:cs="Calibri"/>
        </w:rPr>
        <w:t>[6] Convention on Certain Conventional Weapons. (2019). Guiding Principles on Lethal Autonomous Weapons Systems. CCW/GGE.2/2019/3. Geneva.</w:t>
      </w:r>
    </w:p>
    <w:p w14:paraId="28EF7EF6" w14:textId="77777777" w:rsidR="00CF2859" w:rsidRPr="00AE18A7" w:rsidRDefault="00AE3F9E">
      <w:pPr>
        <w:spacing w:before="50" w:line="260" w:lineRule="auto"/>
        <w:ind w:left="440" w:hanging="440"/>
        <w:rPr>
          <w:rFonts w:ascii="Calibri" w:hAnsi="Calibri" w:cs="Calibri"/>
        </w:rPr>
      </w:pPr>
      <w:r w:rsidRPr="00AE18A7">
        <w:rPr>
          <w:rFonts w:ascii="Calibri" w:hAnsi="Calibri" w:cs="Calibri"/>
        </w:rPr>
        <w:t>[7] International Committee of the Red Cross. (2021). ICRC Calls for New Rules on Autonomous Weapons. Geneva: ICRC.</w:t>
      </w:r>
    </w:p>
    <w:p w14:paraId="28EF7EF7" w14:textId="77777777" w:rsidR="00CF2859" w:rsidRPr="00AE18A7" w:rsidRDefault="00AE3F9E">
      <w:pPr>
        <w:spacing w:before="50" w:line="260" w:lineRule="auto"/>
        <w:ind w:left="440" w:hanging="440"/>
        <w:rPr>
          <w:rFonts w:ascii="Calibri" w:hAnsi="Calibri" w:cs="Calibri"/>
        </w:rPr>
      </w:pPr>
      <w:r w:rsidRPr="00AE18A7">
        <w:rPr>
          <w:rFonts w:ascii="Calibri" w:hAnsi="Calibri" w:cs="Calibri"/>
        </w:rPr>
        <w:t>[8] Scharre, P. (2018). Army of None: Autonomous Weapons and the Future of War. New York: W.W. Norton &amp; Company.</w:t>
      </w:r>
    </w:p>
    <w:p w14:paraId="28EF7EF8" w14:textId="77777777" w:rsidR="00CF2859" w:rsidRPr="00AE18A7" w:rsidRDefault="00AE3F9E">
      <w:pPr>
        <w:spacing w:before="50" w:line="260" w:lineRule="auto"/>
        <w:ind w:left="440" w:hanging="440"/>
        <w:rPr>
          <w:rFonts w:ascii="Calibri" w:hAnsi="Calibri" w:cs="Calibri"/>
        </w:rPr>
      </w:pPr>
      <w:r w:rsidRPr="00AE18A7">
        <w:rPr>
          <w:rFonts w:ascii="Calibri" w:hAnsi="Calibri" w:cs="Calibri"/>
        </w:rPr>
        <w:t>[9] Floridi, L. et al. (2018). AI4People, An Ethical Framework for a Good AI Society. Minds and Machines, 28(4), 689-707.</w:t>
      </w:r>
    </w:p>
    <w:p w14:paraId="28EF7EF9" w14:textId="77777777" w:rsidR="00CF2859" w:rsidRPr="00AE18A7" w:rsidRDefault="00AE3F9E">
      <w:pPr>
        <w:spacing w:before="50" w:line="260" w:lineRule="auto"/>
        <w:ind w:left="440" w:hanging="440"/>
        <w:rPr>
          <w:rFonts w:ascii="Calibri" w:hAnsi="Calibri" w:cs="Calibri"/>
        </w:rPr>
      </w:pPr>
      <w:r w:rsidRPr="00AE18A7">
        <w:rPr>
          <w:rFonts w:ascii="Calibri" w:hAnsi="Calibri" w:cs="Calibri"/>
        </w:rPr>
        <w:t>[10] Lewis, M. W. (2012). Drones and the Boundaries of the Battlefield. Texas International Law Journal, 47(2), 293-314.</w:t>
      </w:r>
    </w:p>
    <w:p w14:paraId="28EF7EFA" w14:textId="77777777" w:rsidR="00CF2859" w:rsidRPr="00AE18A7" w:rsidRDefault="00AE3F9E">
      <w:pPr>
        <w:spacing w:before="50" w:line="260" w:lineRule="auto"/>
        <w:ind w:left="440" w:hanging="440"/>
        <w:rPr>
          <w:rFonts w:ascii="Calibri" w:hAnsi="Calibri" w:cs="Calibri"/>
        </w:rPr>
      </w:pPr>
      <w:r w:rsidRPr="00AE18A7">
        <w:rPr>
          <w:rFonts w:ascii="Calibri" w:hAnsi="Calibri" w:cs="Calibri"/>
        </w:rPr>
        <w:t>[11] Parasuraman, R., &amp; Manzey, D. H. (2010). Complacency and Bias in Human Use of Automation. Human Factors, 52(3), 381-410.</w:t>
      </w:r>
    </w:p>
    <w:p w14:paraId="28EF7EFB" w14:textId="77777777" w:rsidR="00CF2859" w:rsidRPr="00AE18A7" w:rsidRDefault="00AE3F9E">
      <w:pPr>
        <w:spacing w:before="50" w:line="260" w:lineRule="auto"/>
        <w:ind w:left="440" w:hanging="440"/>
        <w:rPr>
          <w:rFonts w:ascii="Calibri" w:hAnsi="Calibri" w:cs="Calibri"/>
        </w:rPr>
      </w:pPr>
      <w:r w:rsidRPr="00AE18A7">
        <w:rPr>
          <w:rFonts w:ascii="Calibri" w:hAnsi="Calibri" w:cs="Calibri"/>
        </w:rPr>
        <w:t>[12] Cummings, M. L. (2004). Automation Bias in Intelligent Time Critical Decision Support Systems. AIAA 1st Intelligent Systems Technical Conference. Chicago.</w:t>
      </w:r>
    </w:p>
    <w:p w14:paraId="28EF7EFC" w14:textId="77777777" w:rsidR="00CF2859" w:rsidRPr="00AE18A7" w:rsidRDefault="00AE3F9E">
      <w:pPr>
        <w:spacing w:before="50" w:line="260" w:lineRule="auto"/>
        <w:ind w:left="440" w:hanging="440"/>
        <w:rPr>
          <w:rFonts w:ascii="Calibri" w:hAnsi="Calibri" w:cs="Calibri"/>
        </w:rPr>
      </w:pPr>
      <w:r w:rsidRPr="00AE18A7">
        <w:rPr>
          <w:rFonts w:ascii="Calibri" w:hAnsi="Calibri" w:cs="Calibri"/>
        </w:rPr>
        <w:t>[13] International Committee of the Red Cross. (2019). Ethics and Autonomous Weapon Systems: An Ethical Basis for Human Control? Geneva: ICRC.</w:t>
      </w:r>
    </w:p>
    <w:p w14:paraId="28EF7EFD" w14:textId="77777777" w:rsidR="00CF2859" w:rsidRPr="00AE18A7" w:rsidRDefault="00AE3F9E">
      <w:pPr>
        <w:spacing w:before="50" w:line="260" w:lineRule="auto"/>
        <w:ind w:left="440" w:hanging="440"/>
        <w:rPr>
          <w:rFonts w:ascii="Calibri" w:hAnsi="Calibri" w:cs="Calibri"/>
        </w:rPr>
      </w:pPr>
      <w:r w:rsidRPr="00AE18A7">
        <w:rPr>
          <w:rFonts w:ascii="Calibri" w:hAnsi="Calibri" w:cs="Calibri"/>
        </w:rPr>
        <w:t>[14] Schmitt, M. N., &amp; Thurnher, J. S. (2013). 'Out of the Loop': Autonomous Weapon Systems and the Law of Armed Conflict. Harvard National Security Journal, 4(2), 231-281.</w:t>
      </w:r>
    </w:p>
    <w:p w14:paraId="28EF7EFE" w14:textId="77777777" w:rsidR="00CF2859" w:rsidRPr="00AE18A7" w:rsidRDefault="00AE3F9E">
      <w:pPr>
        <w:spacing w:before="50" w:line="260" w:lineRule="auto"/>
        <w:ind w:left="440" w:hanging="440"/>
        <w:rPr>
          <w:rFonts w:ascii="Calibri" w:hAnsi="Calibri" w:cs="Calibri"/>
        </w:rPr>
      </w:pPr>
      <w:r w:rsidRPr="00AE18A7">
        <w:rPr>
          <w:rFonts w:ascii="Calibri" w:hAnsi="Calibri" w:cs="Calibri"/>
        </w:rPr>
        <w:t>[15] Roff, H. M., &amp; Moyes, R. (2016). Technical Complexity, Artificial Intelligence and the Meaningful Human Control of Autonomous Weapons Systems. Article 36 / PAX.</w:t>
      </w:r>
    </w:p>
    <w:p w14:paraId="28EF7EFF" w14:textId="77777777" w:rsidR="00CF2859" w:rsidRPr="00AE18A7" w:rsidRDefault="00AE3F9E">
      <w:pPr>
        <w:spacing w:before="50" w:line="260" w:lineRule="auto"/>
        <w:ind w:left="440" w:hanging="440"/>
        <w:rPr>
          <w:rFonts w:ascii="Calibri" w:hAnsi="Calibri" w:cs="Calibri"/>
        </w:rPr>
      </w:pPr>
      <w:r w:rsidRPr="00AE18A7">
        <w:rPr>
          <w:rFonts w:ascii="Calibri" w:hAnsi="Calibri" w:cs="Calibri"/>
        </w:rPr>
        <w:t>[16] United Nations Secretary-General. (2023). New Agenda for Peace. UN Doc A/77/658. New York: United Nations.</w:t>
      </w:r>
    </w:p>
    <w:p w14:paraId="28EF7F00" w14:textId="77777777" w:rsidR="00CF2859" w:rsidRPr="00AE18A7" w:rsidRDefault="00AE3F9E">
      <w:pPr>
        <w:spacing w:before="50" w:line="260" w:lineRule="auto"/>
        <w:ind w:left="440" w:hanging="440"/>
        <w:rPr>
          <w:rFonts w:ascii="Calibri" w:hAnsi="Calibri" w:cs="Calibri"/>
        </w:rPr>
      </w:pPr>
      <w:r w:rsidRPr="00AE18A7">
        <w:rPr>
          <w:rFonts w:ascii="Calibri" w:hAnsi="Calibri" w:cs="Calibri"/>
        </w:rPr>
        <w:t>[17] Additional Protocol I to the Geneva Conventions (1977). Protocol Additional to the Geneva Conventions of 12 August 1949, and Relating to the Protection of Victims of International Armed Conflicts.</w:t>
      </w:r>
    </w:p>
    <w:p w14:paraId="28EF7F01" w14:textId="77777777" w:rsidR="00CF2859" w:rsidRPr="00AE18A7" w:rsidRDefault="00AE3F9E">
      <w:pPr>
        <w:spacing w:before="50" w:line="260" w:lineRule="auto"/>
        <w:ind w:left="440" w:hanging="440"/>
        <w:rPr>
          <w:rFonts w:ascii="Calibri" w:hAnsi="Calibri" w:cs="Calibri"/>
        </w:rPr>
      </w:pPr>
      <w:r w:rsidRPr="00AE18A7">
        <w:rPr>
          <w:rFonts w:ascii="Calibri" w:hAnsi="Calibri" w:cs="Calibri"/>
        </w:rPr>
        <w:t>[18] Convention on Certain Conventional Weapons (CCW). Protocol IV on Blinding Laser Weapons (1995). Protocol V on Explosive Remnants of War (2003).</w:t>
      </w:r>
    </w:p>
    <w:p w14:paraId="28EF7F02" w14:textId="77777777" w:rsidR="00CF2859" w:rsidRPr="00AE18A7" w:rsidRDefault="00AE3F9E">
      <w:pPr>
        <w:spacing w:before="50" w:line="260" w:lineRule="auto"/>
        <w:ind w:left="440" w:hanging="440"/>
        <w:rPr>
          <w:rFonts w:ascii="Calibri" w:hAnsi="Calibri" w:cs="Calibri"/>
        </w:rPr>
      </w:pPr>
      <w:r w:rsidRPr="00AE18A7">
        <w:rPr>
          <w:rFonts w:ascii="Calibri" w:hAnsi="Calibri" w:cs="Calibri"/>
        </w:rPr>
        <w:t>[19] Ottawa Treaty (1997). Convention on the Prohibition of the Use, Stockpiling, Production and Transfer of Anti-Personnel Mines and on Their Destruction.</w:t>
      </w:r>
    </w:p>
    <w:p w14:paraId="28EF7F03" w14:textId="77777777" w:rsidR="00CF2859" w:rsidRPr="00AE18A7" w:rsidRDefault="00AE3F9E">
      <w:pPr>
        <w:spacing w:before="50" w:line="260" w:lineRule="auto"/>
        <w:ind w:left="440" w:hanging="440"/>
        <w:rPr>
          <w:rFonts w:ascii="Calibri" w:hAnsi="Calibri" w:cs="Calibri"/>
        </w:rPr>
      </w:pPr>
      <w:r w:rsidRPr="00AE18A7">
        <w:rPr>
          <w:rFonts w:ascii="Calibri" w:hAnsi="Calibri" w:cs="Calibri"/>
        </w:rPr>
        <w:t>[20] Oslo Treaty (2008). Convention on Cluster Munitions.</w:t>
      </w:r>
    </w:p>
    <w:p w14:paraId="28EF7F04" w14:textId="77777777" w:rsidR="00CF2859" w:rsidRPr="00AE18A7" w:rsidRDefault="00AE3F9E">
      <w:pPr>
        <w:spacing w:before="50" w:line="260" w:lineRule="auto"/>
        <w:ind w:left="440" w:hanging="440"/>
        <w:rPr>
          <w:rFonts w:ascii="Calibri" w:hAnsi="Calibri" w:cs="Calibri"/>
        </w:rPr>
      </w:pPr>
      <w:r w:rsidRPr="00AE18A7">
        <w:rPr>
          <w:rFonts w:ascii="Calibri" w:hAnsi="Calibri" w:cs="Calibri"/>
        </w:rPr>
        <w:t>[21] Office of the Deputy Secretary of Defense. (2017). Memorandum: Establishment of an Algorithmic Warfare Cross-Functional Team (Project Maven). Washington, D.C.: Department of Defense. April 26, 2017.</w:t>
      </w:r>
    </w:p>
    <w:p w14:paraId="28EF7F05" w14:textId="77777777" w:rsidR="00CF2859" w:rsidRPr="00AE18A7" w:rsidRDefault="00AE3F9E">
      <w:pPr>
        <w:spacing w:before="50" w:line="260" w:lineRule="auto"/>
        <w:ind w:left="440" w:hanging="440"/>
        <w:rPr>
          <w:rFonts w:ascii="Calibri" w:hAnsi="Calibri" w:cs="Calibri"/>
        </w:rPr>
      </w:pPr>
      <w:r w:rsidRPr="00AE18A7">
        <w:rPr>
          <w:rFonts w:ascii="Calibri" w:hAnsi="Calibri" w:cs="Calibri"/>
        </w:rPr>
        <w:t>[22] Shane, S., &amp; Wakabayashi, D. (2018). 'The Business of War': Google Employees Protest Work for the Pentagon. The New York Times. April 4, 2018.</w:t>
      </w:r>
    </w:p>
    <w:p w14:paraId="28EF7F06" w14:textId="77777777" w:rsidR="00CF2859" w:rsidRPr="00AE18A7" w:rsidRDefault="00AE3F9E">
      <w:pPr>
        <w:spacing w:before="50" w:line="260" w:lineRule="auto"/>
        <w:ind w:left="440" w:hanging="440"/>
        <w:rPr>
          <w:rFonts w:ascii="Calibri" w:hAnsi="Calibri" w:cs="Calibri"/>
        </w:rPr>
      </w:pPr>
      <w:r w:rsidRPr="00AE18A7">
        <w:rPr>
          <w:rFonts w:ascii="Calibri" w:hAnsi="Calibri" w:cs="Calibri"/>
        </w:rPr>
        <w:t>[23] United States Department of Defense. (2020). DoD Adopts Ethical Principles for Artificial Intelligence. DoD News. February 24, 2020.</w:t>
      </w:r>
    </w:p>
    <w:p w14:paraId="28EF7F07" w14:textId="77777777" w:rsidR="00CF2859" w:rsidRPr="00AE18A7" w:rsidRDefault="00CF2859">
      <w:pPr>
        <w:spacing w:before="80"/>
        <w:rPr>
          <w:rFonts w:ascii="Calibri" w:hAnsi="Calibri" w:cs="Calibri"/>
        </w:rPr>
      </w:pPr>
    </w:p>
    <w:p w14:paraId="062E5BD0" w14:textId="77777777" w:rsidR="00AE18A7" w:rsidRPr="00AE18A7" w:rsidRDefault="00AE18A7">
      <w:pPr>
        <w:spacing w:after="80"/>
        <w:rPr>
          <w:rFonts w:ascii="Calibri" w:hAnsi="Calibri" w:cs="Calibri"/>
          <w:b/>
          <w:bCs/>
          <w:sz w:val="22"/>
          <w:szCs w:val="22"/>
          <w:lang w:val="en-GB"/>
        </w:rPr>
      </w:pPr>
    </w:p>
    <w:p w14:paraId="7631015A" w14:textId="77777777" w:rsidR="00AE18A7" w:rsidRPr="00AE18A7" w:rsidRDefault="00AE18A7">
      <w:pPr>
        <w:spacing w:after="80"/>
        <w:rPr>
          <w:rFonts w:ascii="Calibri" w:hAnsi="Calibri" w:cs="Calibri"/>
          <w:b/>
          <w:bCs/>
          <w:sz w:val="22"/>
          <w:szCs w:val="22"/>
          <w:lang w:val="en-GB"/>
        </w:rPr>
      </w:pPr>
    </w:p>
    <w:p w14:paraId="28EF7F08" w14:textId="3B84F17C" w:rsidR="00CF2859" w:rsidRPr="00AE18A7" w:rsidRDefault="00AE3F9E" w:rsidP="00AE18A7">
      <w:pPr>
        <w:pStyle w:val="Heading10"/>
      </w:pPr>
      <w:bookmarkStart w:id="31" w:name="_Toc229741696"/>
      <w:r w:rsidRPr="00AE18A7">
        <w:lastRenderedPageBreak/>
        <w:t>Acknowledgements</w:t>
      </w:r>
      <w:bookmarkEnd w:id="31"/>
    </w:p>
    <w:p w14:paraId="28EF7F09" w14:textId="77777777" w:rsidR="00CF2859" w:rsidRPr="00AE18A7" w:rsidRDefault="00CF2859">
      <w:pPr>
        <w:pBdr>
          <w:bottom w:val="single" w:sz="3" w:space="0" w:color="1A1A1A"/>
        </w:pBdr>
        <w:spacing w:after="120"/>
        <w:rPr>
          <w:rFonts w:ascii="Calibri" w:hAnsi="Calibri" w:cs="Calibri"/>
        </w:rPr>
      </w:pPr>
    </w:p>
    <w:p w14:paraId="28EF7F0A" w14:textId="77777777" w:rsidR="00CF2859" w:rsidRPr="00AE18A7" w:rsidRDefault="00AE3F9E">
      <w:pPr>
        <w:spacing w:before="80" w:line="276" w:lineRule="auto"/>
        <w:rPr>
          <w:rFonts w:ascii="Calibri" w:hAnsi="Calibri" w:cs="Calibri"/>
        </w:rPr>
      </w:pPr>
      <w:r w:rsidRPr="00AE18A7">
        <w:rPr>
          <w:rFonts w:ascii="Calibri" w:hAnsi="Calibri" w:cs="Calibri"/>
        </w:rPr>
        <w:t>The author thanks the international humanitarian law community, whose sustained work on meaningful human control and the CCW GGE process has framed the policy context this framework attempts to address technically. The governance principles in EAAP-LGF are derived from practical experience in enterprise AI governance and are offered as a technical contribution to a debate that has thus far been conducted primarily at the principles level. The author also acknowledges the Google employees whose public letter regarding Project Maven identified, in moral and reputational terms, the governance questions this paper attempts to answer in architectural terms.</w:t>
      </w:r>
    </w:p>
    <w:p w14:paraId="28EF7F0B" w14:textId="77777777" w:rsidR="00CF2859" w:rsidRPr="00AE18A7" w:rsidRDefault="00CF2859">
      <w:pPr>
        <w:spacing w:before="40"/>
        <w:rPr>
          <w:rFonts w:ascii="Calibri" w:hAnsi="Calibri" w:cs="Calibri"/>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F2859" w:rsidRPr="00AE18A7" w14:paraId="28EF7F0D" w14:textId="77777777" w:rsidTr="00AE18A7">
        <w:tc>
          <w:tcPr>
            <w:tcW w:w="9638"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60" w:type="dxa"/>
              <w:bottom w:w="100" w:type="dxa"/>
              <w:right w:w="160" w:type="dxa"/>
            </w:tcMar>
          </w:tcPr>
          <w:p w14:paraId="28EF7F0C" w14:textId="257DBEBD" w:rsidR="00CF2859" w:rsidRPr="00AE18A7" w:rsidRDefault="00AE3F9E">
            <w:pPr>
              <w:spacing w:line="276" w:lineRule="auto"/>
              <w:rPr>
                <w:rFonts w:ascii="Calibri" w:hAnsi="Calibri" w:cs="Calibri"/>
                <w:lang w:val="en-GB"/>
              </w:rPr>
            </w:pPr>
            <w:r w:rsidRPr="00AE18A7">
              <w:rPr>
                <w:rFonts w:ascii="Calibri" w:hAnsi="Calibri" w:cs="Calibri"/>
                <w:i/>
                <w:iCs/>
                <w:sz w:val="19"/>
                <w:szCs w:val="19"/>
              </w:rPr>
              <w:t xml:space="preserve">This paper is a preprint. It has not been peer reviewed. The author welcomes substantive engagement from IHL scholars, AI governance researchers, and human factors specialists. Correspondence: </w:t>
            </w:r>
            <w:hyperlink r:id="rId10" w:history="1">
              <w:r w:rsidR="00EB5C87" w:rsidRPr="00AE18A7">
                <w:rPr>
                  <w:rStyle w:val="Hyperlink"/>
                  <w:rFonts w:ascii="Calibri" w:hAnsi="Calibri" w:cs="Calibri"/>
                  <w:i/>
                  <w:iCs/>
                  <w:sz w:val="19"/>
                  <w:szCs w:val="19"/>
                  <w:lang w:val="en-GB"/>
                </w:rPr>
                <w:t>research</w:t>
              </w:r>
              <w:r w:rsidR="00EB5C87" w:rsidRPr="00AE18A7">
                <w:rPr>
                  <w:rStyle w:val="Hyperlink"/>
                  <w:rFonts w:ascii="Calibri" w:hAnsi="Calibri" w:cs="Calibri"/>
                  <w:i/>
                  <w:iCs/>
                  <w:sz w:val="19"/>
                  <w:szCs w:val="19"/>
                </w:rPr>
                <w:t>@johngoulden.de</w:t>
              </w:r>
            </w:hyperlink>
            <w:r w:rsidRPr="00AE18A7">
              <w:rPr>
                <w:rFonts w:ascii="Calibri" w:hAnsi="Calibri" w:cs="Calibri"/>
                <w:i/>
                <w:iCs/>
                <w:sz w:val="19"/>
                <w:szCs w:val="19"/>
              </w:rPr>
              <w:t xml:space="preserve"> · </w:t>
            </w:r>
            <w:hyperlink r:id="rId11" w:history="1">
              <w:r w:rsidR="00EB5C87" w:rsidRPr="00AE18A7">
                <w:rPr>
                  <w:rStyle w:val="Hyperlink"/>
                  <w:rFonts w:ascii="Calibri" w:hAnsi="Calibri" w:cs="Calibri"/>
                  <w:i/>
                  <w:iCs/>
                  <w:sz w:val="19"/>
                  <w:szCs w:val="19"/>
                </w:rPr>
                <w:t>https://doi.org/10.5281/zenodo.20085547</w:t>
              </w:r>
            </w:hyperlink>
            <w:r w:rsidR="00EB5C87" w:rsidRPr="00AE18A7">
              <w:rPr>
                <w:rFonts w:ascii="Calibri" w:hAnsi="Calibri" w:cs="Calibri"/>
                <w:i/>
                <w:iCs/>
                <w:sz w:val="19"/>
                <w:szCs w:val="19"/>
                <w:lang w:val="en-GB"/>
              </w:rPr>
              <w:t xml:space="preserve"> </w:t>
            </w:r>
          </w:p>
        </w:tc>
      </w:tr>
    </w:tbl>
    <w:p w14:paraId="28EF7F0E" w14:textId="77777777" w:rsidR="00CF2859" w:rsidRPr="00AE18A7" w:rsidRDefault="00AE3F9E">
      <w:pPr>
        <w:rPr>
          <w:rFonts w:ascii="Calibri" w:hAnsi="Calibri" w:cs="Calibri"/>
        </w:rPr>
      </w:pPr>
      <w:r w:rsidRPr="00AE18A7">
        <w:rPr>
          <w:rFonts w:ascii="Calibri" w:hAnsi="Calibri" w:cs="Calibri"/>
        </w:rPr>
        <w:br w:type="page"/>
      </w:r>
    </w:p>
    <w:p w14:paraId="28EF7F0F" w14:textId="5A59DF50" w:rsidR="00CF2859" w:rsidRPr="00AE18A7" w:rsidRDefault="00AE3F9E" w:rsidP="00EB5C87">
      <w:pPr>
        <w:pStyle w:val="Heading10"/>
      </w:pPr>
      <w:bookmarkStart w:id="32" w:name="_Toc229741697"/>
      <w:r w:rsidRPr="00AE18A7">
        <w:lastRenderedPageBreak/>
        <w:t>Appendix A: Known Unknowns as Hard Blocks Reference Table</w:t>
      </w:r>
      <w:bookmarkEnd w:id="32"/>
    </w:p>
    <w:p w14:paraId="28EF7F10" w14:textId="39644FE1" w:rsidR="00CF2859" w:rsidRPr="00AE18A7" w:rsidRDefault="00AE3F9E">
      <w:pPr>
        <w:spacing w:before="80" w:line="276" w:lineRule="auto"/>
        <w:rPr>
          <w:rFonts w:ascii="Calibri" w:hAnsi="Calibri" w:cs="Calibri"/>
        </w:rPr>
      </w:pPr>
      <w:r w:rsidRPr="00AE18A7">
        <w:rPr>
          <w:rFonts w:ascii="Calibri" w:hAnsi="Calibri" w:cs="Calibri"/>
        </w:rPr>
        <w:t>The following Known Unknowns produce categorical hard blocks at Layer 1. Unlike standard Known Unknowns which degrade the confidence score these categories prevent the recommendation from proceeding regardless of other scores. Each requires a specific human-led resolution process before the recommendation may be resubmitted.</w:t>
      </w:r>
    </w:p>
    <w:p w14:paraId="28EF7F11" w14:textId="77777777" w:rsidR="00CF2859" w:rsidRPr="00AE18A7" w:rsidRDefault="00CF2859">
      <w:pPr>
        <w:spacing w:before="40"/>
        <w:rPr>
          <w:rFonts w:ascii="Calibri" w:hAnsi="Calibri" w:cs="Calibri"/>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4672"/>
      </w:tblGrid>
      <w:tr w:rsidR="00CF2859" w:rsidRPr="00AE18A7" w14:paraId="28EF7F15" w14:textId="77777777">
        <w:trPr>
          <w:tblHeader/>
        </w:trPr>
        <w:tc>
          <w:tcPr>
            <w:tcW w:w="2600" w:type="dxa"/>
            <w:tcBorders>
              <w:top w:val="single" w:sz="1" w:space="0" w:color="1A1A1A"/>
              <w:left w:val="single" w:sz="1" w:space="0" w:color="1A1A1A"/>
              <w:bottom w:val="single" w:sz="1" w:space="0" w:color="1A1A1A"/>
              <w:right w:val="single" w:sz="1" w:space="0" w:color="1A1A1A"/>
            </w:tcBorders>
            <w:shd w:val="clear" w:color="auto" w:fill="1A1A1A"/>
            <w:tcMar>
              <w:top w:w="60" w:type="dxa"/>
              <w:left w:w="100" w:type="dxa"/>
              <w:bottom w:w="60" w:type="dxa"/>
              <w:right w:w="100" w:type="dxa"/>
            </w:tcMar>
          </w:tcPr>
          <w:p w14:paraId="28EF7F12" w14:textId="77777777" w:rsidR="00CF2859" w:rsidRPr="00AE18A7" w:rsidRDefault="00AE3F9E">
            <w:pPr>
              <w:rPr>
                <w:rFonts w:ascii="Calibri" w:hAnsi="Calibri" w:cs="Calibri"/>
              </w:rPr>
            </w:pPr>
            <w:r w:rsidRPr="00AE18A7">
              <w:rPr>
                <w:rFonts w:ascii="Calibri" w:hAnsi="Calibri" w:cs="Calibri"/>
                <w:b/>
                <w:bCs/>
                <w:color w:val="FFFFFF"/>
                <w:sz w:val="17"/>
                <w:szCs w:val="17"/>
              </w:rPr>
              <w:t>Known Unknown</w:t>
            </w:r>
          </w:p>
        </w:tc>
        <w:tc>
          <w:tcPr>
            <w:tcW w:w="1800" w:type="dxa"/>
            <w:tcBorders>
              <w:top w:val="single" w:sz="1" w:space="0" w:color="1A1A1A"/>
              <w:left w:val="single" w:sz="1" w:space="0" w:color="1A1A1A"/>
              <w:bottom w:val="single" w:sz="1" w:space="0" w:color="1A1A1A"/>
              <w:right w:val="single" w:sz="1" w:space="0" w:color="1A1A1A"/>
            </w:tcBorders>
            <w:shd w:val="clear" w:color="auto" w:fill="1A1A1A"/>
            <w:tcMar>
              <w:top w:w="60" w:type="dxa"/>
              <w:left w:w="100" w:type="dxa"/>
              <w:bottom w:w="60" w:type="dxa"/>
              <w:right w:w="100" w:type="dxa"/>
            </w:tcMar>
          </w:tcPr>
          <w:p w14:paraId="28EF7F13" w14:textId="77777777" w:rsidR="00CF2859" w:rsidRPr="00AE18A7" w:rsidRDefault="00AE3F9E">
            <w:pPr>
              <w:rPr>
                <w:rFonts w:ascii="Calibri" w:hAnsi="Calibri" w:cs="Calibri"/>
              </w:rPr>
            </w:pPr>
            <w:r w:rsidRPr="00AE18A7">
              <w:rPr>
                <w:rFonts w:ascii="Calibri" w:hAnsi="Calibri" w:cs="Calibri"/>
                <w:b/>
                <w:bCs/>
                <w:color w:val="FFFFFF"/>
                <w:sz w:val="17"/>
                <w:szCs w:val="17"/>
              </w:rPr>
              <w:t>Hard Block Tier</w:t>
            </w:r>
          </w:p>
        </w:tc>
        <w:tc>
          <w:tcPr>
            <w:tcW w:w="4672" w:type="dxa"/>
            <w:tcBorders>
              <w:top w:val="single" w:sz="1" w:space="0" w:color="1A1A1A"/>
              <w:left w:val="single" w:sz="1" w:space="0" w:color="1A1A1A"/>
              <w:bottom w:val="single" w:sz="1" w:space="0" w:color="1A1A1A"/>
              <w:right w:val="single" w:sz="1" w:space="0" w:color="1A1A1A"/>
            </w:tcBorders>
            <w:shd w:val="clear" w:color="auto" w:fill="1A1A1A"/>
            <w:tcMar>
              <w:top w:w="60" w:type="dxa"/>
              <w:left w:w="100" w:type="dxa"/>
              <w:bottom w:w="60" w:type="dxa"/>
              <w:right w:w="100" w:type="dxa"/>
            </w:tcMar>
          </w:tcPr>
          <w:p w14:paraId="28EF7F14" w14:textId="77777777" w:rsidR="00CF2859" w:rsidRPr="00AE18A7" w:rsidRDefault="00AE3F9E">
            <w:pPr>
              <w:rPr>
                <w:rFonts w:ascii="Calibri" w:hAnsi="Calibri" w:cs="Calibri"/>
              </w:rPr>
            </w:pPr>
            <w:r w:rsidRPr="00AE18A7">
              <w:rPr>
                <w:rFonts w:ascii="Calibri" w:hAnsi="Calibri" w:cs="Calibri"/>
                <w:b/>
                <w:bCs/>
                <w:color w:val="FFFFFF"/>
                <w:sz w:val="17"/>
                <w:szCs w:val="17"/>
              </w:rPr>
              <w:t>Resolution Required Before Resubmission</w:t>
            </w:r>
          </w:p>
        </w:tc>
      </w:tr>
      <w:tr w:rsidR="00CF2859" w:rsidRPr="00AE18A7" w14:paraId="28EF7F19" w14:textId="77777777">
        <w:tc>
          <w:tcPr>
            <w:tcW w:w="26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F16"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Civilian presence in target area: unconfirmed</w:t>
            </w:r>
          </w:p>
        </w:tc>
        <w:tc>
          <w:tcPr>
            <w:tcW w:w="18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F17"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All lethal tiers</w:t>
            </w:r>
          </w:p>
        </w:tc>
        <w:tc>
          <w:tcPr>
            <w:tcW w:w="4672"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F18"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Active assessment of civilian presence by human intelligence source with documented reliability profile.</w:t>
            </w:r>
          </w:p>
        </w:tc>
      </w:tr>
      <w:tr w:rsidR="00CF2859" w:rsidRPr="00AE18A7" w14:paraId="28EF7F1D" w14:textId="77777777">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F1A"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Target identity: single source only</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F1B"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Tier L3 and above</w:t>
            </w:r>
          </w:p>
        </w:tc>
        <w:tc>
          <w:tcPr>
            <w:tcW w:w="467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F1C"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Cross-cued confirmation from an independent intelligence source of a different type (e.g., HUMINT if currently SIGINT-only).</w:t>
            </w:r>
          </w:p>
        </w:tc>
      </w:tr>
      <w:tr w:rsidR="00CF2859" w:rsidRPr="00AE18A7" w14:paraId="28EF7F21" w14:textId="77777777">
        <w:tc>
          <w:tcPr>
            <w:tcW w:w="26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F1E"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Target identity: algorithm-only (no human intelligence source)</w:t>
            </w:r>
          </w:p>
        </w:tc>
        <w:tc>
          <w:tcPr>
            <w:tcW w:w="18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F1F" w14:textId="70DFD382" w:rsidR="00CF2859" w:rsidRPr="00AE18A7" w:rsidRDefault="00AE3F9E">
            <w:pPr>
              <w:spacing w:line="260" w:lineRule="auto"/>
              <w:rPr>
                <w:rFonts w:ascii="Calibri" w:hAnsi="Calibri" w:cs="Calibri"/>
              </w:rPr>
            </w:pPr>
            <w:r w:rsidRPr="00AE18A7">
              <w:rPr>
                <w:rFonts w:ascii="Calibri" w:hAnsi="Calibri" w:cs="Calibri"/>
                <w:color w:val="444444"/>
                <w:sz w:val="17"/>
                <w:szCs w:val="17"/>
              </w:rPr>
              <w:t>All tiers CATEGORICAL PROHIBITION</w:t>
            </w:r>
          </w:p>
        </w:tc>
        <w:tc>
          <w:tcPr>
            <w:tcW w:w="4672"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F20"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Human intelligence source identification required. A human intelligence source must be involved. Adding more algorithmic sources does not resolve this hard block.</w:t>
            </w:r>
          </w:p>
        </w:tc>
      </w:tr>
      <w:tr w:rsidR="00CF2859" w:rsidRPr="00AE18A7" w14:paraId="28EF7F25" w14:textId="77777777">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F22"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Protected object within effects radius: presence unassessed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F23"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All lethal tiers</w:t>
            </w:r>
          </w:p>
        </w:tc>
        <w:tc>
          <w:tcPr>
            <w:tcW w:w="467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F24"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Assessment of protected object type and applicability of protection. Legal advisor review required.</w:t>
            </w:r>
          </w:p>
        </w:tc>
      </w:tr>
      <w:tr w:rsidR="00CF2859" w:rsidRPr="00AE18A7" w14:paraId="28EF7F29" w14:textId="77777777">
        <w:tc>
          <w:tcPr>
            <w:tcW w:w="26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F26"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Rules of engagement applicability: contested</w:t>
            </w:r>
          </w:p>
        </w:tc>
        <w:tc>
          <w:tcPr>
            <w:tcW w:w="18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F27"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All lethal tiers</w:t>
            </w:r>
          </w:p>
        </w:tc>
        <w:tc>
          <w:tcPr>
            <w:tcW w:w="4672"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F28"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Legal advisor determination of applicable RoE in the specific operational context.</w:t>
            </w:r>
          </w:p>
        </w:tc>
      </w:tr>
      <w:tr w:rsidR="00CF2859" w:rsidRPr="00AE18A7" w14:paraId="28EF7F2D" w14:textId="77777777">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F2A"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Surrender indicator: any ambiguity</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F2B"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All tiers</w:t>
            </w:r>
          </w:p>
        </w:tc>
        <w:tc>
          <w:tcPr>
            <w:tcW w:w="467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F2C"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Human assessment of surrender status. If any possibility of surrender exists, the default is to assume surrender. Target classified as hors de combat pending confirmation.</w:t>
            </w:r>
          </w:p>
        </w:tc>
      </w:tr>
      <w:tr w:rsidR="00CF2859" w:rsidRPr="00AE18A7" w14:paraId="28EF7F31" w14:textId="77777777">
        <w:tc>
          <w:tcPr>
            <w:tcW w:w="26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F2E"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Intelligence staleness: beyond applicable threshold</w:t>
            </w:r>
          </w:p>
        </w:tc>
        <w:tc>
          <w:tcPr>
            <w:tcW w:w="18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F2F"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Tier L2 and above</w:t>
            </w:r>
          </w:p>
        </w:tc>
        <w:tc>
          <w:tcPr>
            <w:tcW w:w="4672"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F30"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Intelligence refresh to within the applicable staleness threshold. Thresholds: HUMINT 4 hours, SIGINT 15 minutes, IMINT 2 hours, GEOINT 24 hours.</w:t>
            </w:r>
          </w:p>
        </w:tc>
      </w:tr>
      <w:tr w:rsidR="00CF2859" w:rsidRPr="00AE18A7" w14:paraId="28EF7F35" w14:textId="77777777">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F32"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CDE confidence interval includes protected persons</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F33"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Tier L3 and above</w:t>
            </w:r>
          </w:p>
        </w:tc>
        <w:tc>
          <w:tcPr>
            <w:tcW w:w="467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F34"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Revised strike parameters that reduce the effects radius, or delay until protected persons have moved outside the effects radius at acceptable confidence.</w:t>
            </w:r>
          </w:p>
        </w:tc>
      </w:tr>
      <w:tr w:rsidR="00CF2859" w:rsidRPr="00AE18A7" w14:paraId="28EF7F39" w14:textId="77777777">
        <w:tc>
          <w:tcPr>
            <w:tcW w:w="26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F36"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Legal advisor confirmation: not obtained</w:t>
            </w:r>
          </w:p>
        </w:tc>
        <w:tc>
          <w:tcPr>
            <w:tcW w:w="18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F37"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Tier L3 and above</w:t>
            </w:r>
          </w:p>
        </w:tc>
        <w:tc>
          <w:tcPr>
            <w:tcW w:w="4672"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F38"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Legal advisor review and documented compliance determination. Cannot be substituted by any other authoriser regardless of rank.</w:t>
            </w:r>
          </w:p>
        </w:tc>
      </w:tr>
      <w:tr w:rsidR="00CF2859" w:rsidRPr="00AE18A7" w14:paraId="28EF7F3D" w14:textId="77777777">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F3A"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Active spoofing indicator detected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F3B"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All lethal tiers</w:t>
            </w:r>
          </w:p>
        </w:tc>
        <w:tc>
          <w:tcPr>
            <w:tcW w:w="467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F3C"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Human intelligence assessment team evaluation of adversarial deception hypothesis. Cannot be cleared by algorithmic counter-spoofing assessment alone.</w:t>
            </w:r>
          </w:p>
        </w:tc>
      </w:tr>
      <w:tr w:rsidR="00CF2859" w:rsidRPr="00AE18A7" w14:paraId="28EF7F41" w14:textId="77777777">
        <w:tc>
          <w:tcPr>
            <w:tcW w:w="26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F3E"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CDE methodology confidence: below minimum threshold</w:t>
            </w:r>
          </w:p>
        </w:tc>
        <w:tc>
          <w:tcPr>
            <w:tcW w:w="18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F3F"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Tier L3 and above</w:t>
            </w:r>
          </w:p>
        </w:tc>
        <w:tc>
          <w:tcPr>
            <w:tcW w:w="4672"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F40"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Additional collateral damage analysis by a qualified human analyst using a validated methodology.</w:t>
            </w:r>
          </w:p>
        </w:tc>
      </w:tr>
    </w:tbl>
    <w:p w14:paraId="28EF7F42" w14:textId="77777777" w:rsidR="00CF2859" w:rsidRPr="00AE18A7" w:rsidRDefault="00CF2859">
      <w:pPr>
        <w:spacing w:before="40"/>
        <w:rPr>
          <w:rFonts w:ascii="Calibri" w:hAnsi="Calibri" w:cs="Calibri"/>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CF2859" w:rsidRPr="00AE18A7" w14:paraId="28EF7F44" w14:textId="77777777">
        <w:tc>
          <w:tcPr>
            <w:tcW w:w="0" w:type="auto"/>
            <w:tcBorders>
              <w:top w:val="single" w:sz="1" w:space="0" w:color="CCCCCC"/>
              <w:left w:val="single" w:sz="1" w:space="0" w:color="CCCCCC"/>
              <w:bottom w:val="single" w:sz="1" w:space="0" w:color="CCCCCC"/>
              <w:right w:val="single" w:sz="1" w:space="0" w:color="CCCCCC"/>
            </w:tcBorders>
            <w:shd w:val="clear" w:color="auto" w:fill="F7F7F7"/>
            <w:tcMar>
              <w:top w:w="100" w:type="dxa"/>
              <w:left w:w="160" w:type="dxa"/>
              <w:bottom w:w="100" w:type="dxa"/>
              <w:right w:w="160" w:type="dxa"/>
            </w:tcMar>
          </w:tcPr>
          <w:p w14:paraId="28EF7F43" w14:textId="77777777" w:rsidR="00CF2859" w:rsidRPr="00AE18A7" w:rsidRDefault="00AE3F9E">
            <w:pPr>
              <w:spacing w:line="276" w:lineRule="auto"/>
              <w:rPr>
                <w:rFonts w:ascii="Calibri" w:hAnsi="Calibri" w:cs="Calibri"/>
              </w:rPr>
            </w:pPr>
            <w:r w:rsidRPr="00AE18A7">
              <w:rPr>
                <w:rFonts w:ascii="Calibri" w:hAnsi="Calibri" w:cs="Calibri"/>
                <w:i/>
                <w:iCs/>
                <w:sz w:val="19"/>
                <w:szCs w:val="19"/>
              </w:rPr>
              <w:t>A system that presents a recommendation to an authoriser while one of these Known Unknowns is unresolved is not compliant with EAAP-LGF regardless of what the authoriser then decides. These are architectural requirements, not procedural guidelines.</w:t>
            </w:r>
          </w:p>
        </w:tc>
      </w:tr>
    </w:tbl>
    <w:p w14:paraId="28EF7F45" w14:textId="77777777" w:rsidR="00CF2859" w:rsidRPr="00AE18A7" w:rsidRDefault="00AE3F9E">
      <w:pPr>
        <w:rPr>
          <w:rFonts w:ascii="Calibri" w:hAnsi="Calibri" w:cs="Calibri"/>
        </w:rPr>
      </w:pPr>
      <w:r w:rsidRPr="00AE18A7">
        <w:rPr>
          <w:rFonts w:ascii="Calibri" w:hAnsi="Calibri" w:cs="Calibri"/>
        </w:rPr>
        <w:br w:type="page"/>
      </w:r>
    </w:p>
    <w:p w14:paraId="28EF7F46" w14:textId="77777777" w:rsidR="00CF2859" w:rsidRPr="00AE18A7" w:rsidRDefault="00AE3F9E" w:rsidP="00EB5C87">
      <w:pPr>
        <w:pStyle w:val="Heading10"/>
      </w:pPr>
      <w:bookmarkStart w:id="33" w:name="_Toc229741698"/>
      <w:r w:rsidRPr="00AE18A7">
        <w:lastRenderedPageBreak/>
        <w:t>Appendix B: Illustrative Legal Compliance Assessment Criteria</w:t>
      </w:r>
      <w:bookmarkEnd w:id="33"/>
    </w:p>
    <w:p w14:paraId="28EF7F47" w14:textId="77777777" w:rsidR="00CF2859" w:rsidRPr="00AE18A7" w:rsidRDefault="00AE3F9E">
      <w:pPr>
        <w:spacing w:before="80" w:line="276" w:lineRule="auto"/>
        <w:rPr>
          <w:rFonts w:ascii="Calibri" w:hAnsi="Calibri" w:cs="Calibri"/>
        </w:rPr>
      </w:pPr>
      <w:r w:rsidRPr="00AE18A7">
        <w:rPr>
          <w:rFonts w:ascii="Calibri" w:hAnsi="Calibri" w:cs="Calibri"/>
        </w:rPr>
        <w:t>The following criteria are illustrative of what the Legal Compliance Assessment (Assessment 2 of the Compound Assessment Gate at Layer 0) must evaluate. This list is not exhaustive and does not constitute legal advice. The encodable LCA ruleset must be developed and reviewed by qualified IHL counsel before any operational implementation.</w:t>
      </w:r>
    </w:p>
    <w:p w14:paraId="28EF7F48" w14:textId="77777777" w:rsidR="00CF2859" w:rsidRPr="00AE18A7" w:rsidRDefault="00CF2859">
      <w:pPr>
        <w:spacing w:before="60"/>
        <w:rPr>
          <w:rFonts w:ascii="Calibri" w:hAnsi="Calibri" w:cs="Calibri"/>
        </w:rPr>
      </w:pPr>
    </w:p>
    <w:p w14:paraId="28EF7F49" w14:textId="77777777" w:rsidR="00CF2859" w:rsidRPr="00AE18A7" w:rsidRDefault="00AE3F9E" w:rsidP="00EB5C87">
      <w:pPr>
        <w:pStyle w:val="Heading20"/>
      </w:pPr>
      <w:bookmarkStart w:id="34" w:name="_Toc229741699"/>
      <w:r w:rsidRPr="00AE18A7">
        <w:t>B.1 Military Objective</w:t>
      </w:r>
      <w:bookmarkEnd w:id="34"/>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3000"/>
        <w:gridCol w:w="2672"/>
      </w:tblGrid>
      <w:tr w:rsidR="00CF2859" w:rsidRPr="00AE18A7" w14:paraId="28EF7F4E" w14:textId="77777777">
        <w:trPr>
          <w:tblHeader/>
        </w:trPr>
        <w:tc>
          <w:tcPr>
            <w:tcW w:w="1800" w:type="dxa"/>
            <w:tcBorders>
              <w:top w:val="single" w:sz="1" w:space="0" w:color="1A1A1A"/>
              <w:left w:val="single" w:sz="1" w:space="0" w:color="1A1A1A"/>
              <w:bottom w:val="single" w:sz="1" w:space="0" w:color="1A1A1A"/>
              <w:right w:val="single" w:sz="1" w:space="0" w:color="1A1A1A"/>
            </w:tcBorders>
            <w:shd w:val="clear" w:color="auto" w:fill="1A1A1A"/>
            <w:tcMar>
              <w:top w:w="60" w:type="dxa"/>
              <w:left w:w="100" w:type="dxa"/>
              <w:bottom w:w="60" w:type="dxa"/>
              <w:right w:w="100" w:type="dxa"/>
            </w:tcMar>
          </w:tcPr>
          <w:p w14:paraId="28EF7F4A" w14:textId="77777777" w:rsidR="00CF2859" w:rsidRPr="00AE18A7" w:rsidRDefault="00AE3F9E">
            <w:pPr>
              <w:rPr>
                <w:rFonts w:ascii="Calibri" w:hAnsi="Calibri" w:cs="Calibri"/>
              </w:rPr>
            </w:pPr>
            <w:r w:rsidRPr="00AE18A7">
              <w:rPr>
                <w:rFonts w:ascii="Calibri" w:hAnsi="Calibri" w:cs="Calibri"/>
                <w:b/>
                <w:bCs/>
                <w:color w:val="FFFFFF"/>
                <w:sz w:val="17"/>
                <w:szCs w:val="17"/>
              </w:rPr>
              <w:t>Criterion</w:t>
            </w:r>
          </w:p>
        </w:tc>
        <w:tc>
          <w:tcPr>
            <w:tcW w:w="1600" w:type="dxa"/>
            <w:tcBorders>
              <w:top w:val="single" w:sz="1" w:space="0" w:color="1A1A1A"/>
              <w:left w:val="single" w:sz="1" w:space="0" w:color="1A1A1A"/>
              <w:bottom w:val="single" w:sz="1" w:space="0" w:color="1A1A1A"/>
              <w:right w:val="single" w:sz="1" w:space="0" w:color="1A1A1A"/>
            </w:tcBorders>
            <w:shd w:val="clear" w:color="auto" w:fill="1A1A1A"/>
            <w:tcMar>
              <w:top w:w="60" w:type="dxa"/>
              <w:left w:w="100" w:type="dxa"/>
              <w:bottom w:w="60" w:type="dxa"/>
              <w:right w:w="100" w:type="dxa"/>
            </w:tcMar>
          </w:tcPr>
          <w:p w14:paraId="28EF7F4B" w14:textId="77777777" w:rsidR="00CF2859" w:rsidRPr="00AE18A7" w:rsidRDefault="00AE3F9E">
            <w:pPr>
              <w:rPr>
                <w:rFonts w:ascii="Calibri" w:hAnsi="Calibri" w:cs="Calibri"/>
              </w:rPr>
            </w:pPr>
            <w:r w:rsidRPr="00AE18A7">
              <w:rPr>
                <w:rFonts w:ascii="Calibri" w:hAnsi="Calibri" w:cs="Calibri"/>
                <w:b/>
                <w:bCs/>
                <w:color w:val="FFFFFF"/>
                <w:sz w:val="17"/>
                <w:szCs w:val="17"/>
              </w:rPr>
              <w:t>IHL Source</w:t>
            </w:r>
          </w:p>
        </w:tc>
        <w:tc>
          <w:tcPr>
            <w:tcW w:w="3000" w:type="dxa"/>
            <w:tcBorders>
              <w:top w:val="single" w:sz="1" w:space="0" w:color="1A1A1A"/>
              <w:left w:val="single" w:sz="1" w:space="0" w:color="1A1A1A"/>
              <w:bottom w:val="single" w:sz="1" w:space="0" w:color="1A1A1A"/>
              <w:right w:val="single" w:sz="1" w:space="0" w:color="1A1A1A"/>
            </w:tcBorders>
            <w:shd w:val="clear" w:color="auto" w:fill="1A1A1A"/>
            <w:tcMar>
              <w:top w:w="60" w:type="dxa"/>
              <w:left w:w="100" w:type="dxa"/>
              <w:bottom w:w="60" w:type="dxa"/>
              <w:right w:w="100" w:type="dxa"/>
            </w:tcMar>
          </w:tcPr>
          <w:p w14:paraId="28EF7F4C" w14:textId="77777777" w:rsidR="00CF2859" w:rsidRPr="00AE18A7" w:rsidRDefault="00AE3F9E">
            <w:pPr>
              <w:rPr>
                <w:rFonts w:ascii="Calibri" w:hAnsi="Calibri" w:cs="Calibri"/>
              </w:rPr>
            </w:pPr>
            <w:r w:rsidRPr="00AE18A7">
              <w:rPr>
                <w:rFonts w:ascii="Calibri" w:hAnsi="Calibri" w:cs="Calibri"/>
                <w:b/>
                <w:bCs/>
                <w:color w:val="FFFFFF"/>
                <w:sz w:val="17"/>
                <w:szCs w:val="17"/>
              </w:rPr>
              <w:t>Assessment Question</w:t>
            </w:r>
          </w:p>
        </w:tc>
        <w:tc>
          <w:tcPr>
            <w:tcW w:w="2672" w:type="dxa"/>
            <w:tcBorders>
              <w:top w:val="single" w:sz="1" w:space="0" w:color="1A1A1A"/>
              <w:left w:val="single" w:sz="1" w:space="0" w:color="1A1A1A"/>
              <w:bottom w:val="single" w:sz="1" w:space="0" w:color="1A1A1A"/>
              <w:right w:val="single" w:sz="1" w:space="0" w:color="1A1A1A"/>
            </w:tcBorders>
            <w:shd w:val="clear" w:color="auto" w:fill="1A1A1A"/>
            <w:tcMar>
              <w:top w:w="60" w:type="dxa"/>
              <w:left w:w="100" w:type="dxa"/>
              <w:bottom w:w="60" w:type="dxa"/>
              <w:right w:w="100" w:type="dxa"/>
            </w:tcMar>
          </w:tcPr>
          <w:p w14:paraId="28EF7F4D" w14:textId="77777777" w:rsidR="00CF2859" w:rsidRPr="00AE18A7" w:rsidRDefault="00AE3F9E">
            <w:pPr>
              <w:rPr>
                <w:rFonts w:ascii="Calibri" w:hAnsi="Calibri" w:cs="Calibri"/>
              </w:rPr>
            </w:pPr>
            <w:r w:rsidRPr="00AE18A7">
              <w:rPr>
                <w:rFonts w:ascii="Calibri" w:hAnsi="Calibri" w:cs="Calibri"/>
                <w:b/>
                <w:bCs/>
                <w:color w:val="FFFFFF"/>
                <w:sz w:val="17"/>
                <w:szCs w:val="17"/>
              </w:rPr>
              <w:t>Governance Consequence</w:t>
            </w:r>
          </w:p>
        </w:tc>
      </w:tr>
      <w:tr w:rsidR="00CF2859" w:rsidRPr="00AE18A7" w14:paraId="28EF7F53" w14:textId="77777777">
        <w:tc>
          <w:tcPr>
            <w:tcW w:w="18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F4F" w14:textId="322ABB1D" w:rsidR="00CF2859" w:rsidRPr="00072E13" w:rsidRDefault="00AE3F9E">
            <w:pPr>
              <w:spacing w:line="260" w:lineRule="auto"/>
              <w:rPr>
                <w:rFonts w:ascii="Calibri" w:hAnsi="Calibri" w:cs="Calibri"/>
                <w:sz w:val="17"/>
                <w:szCs w:val="17"/>
              </w:rPr>
            </w:pPr>
            <w:r w:rsidRPr="00072E13">
              <w:rPr>
                <w:rFonts w:ascii="Calibri" w:hAnsi="Calibri" w:cs="Calibri"/>
                <w:color w:val="444444"/>
                <w:sz w:val="17"/>
                <w:szCs w:val="17"/>
              </w:rPr>
              <w:t>Military objective nature</w:t>
            </w:r>
          </w:p>
        </w:tc>
        <w:tc>
          <w:tcPr>
            <w:tcW w:w="16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F50" w14:textId="77777777" w:rsidR="00CF2859" w:rsidRPr="00072E13" w:rsidRDefault="00AE3F9E">
            <w:pPr>
              <w:spacing w:line="260" w:lineRule="auto"/>
              <w:rPr>
                <w:rFonts w:ascii="Calibri" w:hAnsi="Calibri" w:cs="Calibri"/>
                <w:sz w:val="17"/>
                <w:szCs w:val="17"/>
              </w:rPr>
            </w:pPr>
            <w:r w:rsidRPr="00072E13">
              <w:rPr>
                <w:rFonts w:ascii="Calibri" w:hAnsi="Calibri" w:cs="Calibri"/>
                <w:color w:val="444444"/>
                <w:sz w:val="17"/>
                <w:szCs w:val="17"/>
              </w:rPr>
              <w:t>AP I Art. 52(2)</w:t>
            </w:r>
          </w:p>
        </w:tc>
        <w:tc>
          <w:tcPr>
            <w:tcW w:w="30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F51" w14:textId="77777777" w:rsidR="00CF2859" w:rsidRPr="00072E13" w:rsidRDefault="00AE3F9E">
            <w:pPr>
              <w:spacing w:line="260" w:lineRule="auto"/>
              <w:rPr>
                <w:rFonts w:ascii="Calibri" w:hAnsi="Calibri" w:cs="Calibri"/>
                <w:sz w:val="17"/>
                <w:szCs w:val="17"/>
              </w:rPr>
            </w:pPr>
            <w:r w:rsidRPr="00072E13">
              <w:rPr>
                <w:rFonts w:ascii="Calibri" w:hAnsi="Calibri" w:cs="Calibri"/>
                <w:color w:val="444444"/>
                <w:sz w:val="17"/>
                <w:szCs w:val="17"/>
              </w:rPr>
              <w:t>Does the target by its nature make an effective contribution to military action, and would its neutralisation offer a definite military advantage?</w:t>
            </w:r>
          </w:p>
        </w:tc>
        <w:tc>
          <w:tcPr>
            <w:tcW w:w="2672"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F52" w14:textId="77777777" w:rsidR="00CF2859" w:rsidRPr="00072E13" w:rsidRDefault="00AE3F9E">
            <w:pPr>
              <w:spacing w:line="260" w:lineRule="auto"/>
              <w:rPr>
                <w:rFonts w:ascii="Calibri" w:hAnsi="Calibri" w:cs="Calibri"/>
                <w:sz w:val="17"/>
                <w:szCs w:val="17"/>
              </w:rPr>
            </w:pPr>
            <w:r w:rsidRPr="00072E13">
              <w:rPr>
                <w:rFonts w:ascii="Calibri" w:hAnsi="Calibri" w:cs="Calibri"/>
                <w:color w:val="444444"/>
                <w:sz w:val="17"/>
                <w:szCs w:val="17"/>
              </w:rPr>
              <w:t>YES: proceed. NO: HARD BLOCK. UNCERTAIN: legal advisor review (LCA Mode B).</w:t>
            </w:r>
          </w:p>
        </w:tc>
      </w:tr>
      <w:tr w:rsidR="00CF2859" w:rsidRPr="00AE18A7" w14:paraId="28EF7F58"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F54" w14:textId="72E0ABDB" w:rsidR="00CF2859" w:rsidRPr="00072E13" w:rsidRDefault="00AE3F9E">
            <w:pPr>
              <w:spacing w:line="260" w:lineRule="auto"/>
              <w:rPr>
                <w:rFonts w:ascii="Calibri" w:hAnsi="Calibri" w:cs="Calibri"/>
                <w:sz w:val="17"/>
                <w:szCs w:val="17"/>
              </w:rPr>
            </w:pPr>
            <w:r w:rsidRPr="00072E13">
              <w:rPr>
                <w:rFonts w:ascii="Calibri" w:hAnsi="Calibri" w:cs="Calibri"/>
                <w:color w:val="444444"/>
                <w:sz w:val="17"/>
                <w:szCs w:val="17"/>
              </w:rPr>
              <w:t>Military objective use or purpose</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F55" w14:textId="77777777" w:rsidR="00CF2859" w:rsidRPr="00072E13" w:rsidRDefault="00AE3F9E">
            <w:pPr>
              <w:spacing w:line="260" w:lineRule="auto"/>
              <w:rPr>
                <w:rFonts w:ascii="Calibri" w:hAnsi="Calibri" w:cs="Calibri"/>
                <w:sz w:val="17"/>
                <w:szCs w:val="17"/>
              </w:rPr>
            </w:pPr>
            <w:r w:rsidRPr="00072E13">
              <w:rPr>
                <w:rFonts w:ascii="Calibri" w:hAnsi="Calibri" w:cs="Calibri"/>
                <w:color w:val="444444"/>
                <w:sz w:val="17"/>
                <w:szCs w:val="17"/>
              </w:rPr>
              <w:t>AP I Art. 52(2)</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F56" w14:textId="77777777" w:rsidR="00CF2859" w:rsidRPr="00072E13" w:rsidRDefault="00AE3F9E">
            <w:pPr>
              <w:spacing w:line="260" w:lineRule="auto"/>
              <w:rPr>
                <w:rFonts w:ascii="Calibri" w:hAnsi="Calibri" w:cs="Calibri"/>
                <w:sz w:val="17"/>
                <w:szCs w:val="17"/>
              </w:rPr>
            </w:pPr>
            <w:r w:rsidRPr="00072E13">
              <w:rPr>
                <w:rFonts w:ascii="Calibri" w:hAnsi="Calibri" w:cs="Calibri"/>
                <w:color w:val="444444"/>
                <w:sz w:val="17"/>
                <w:szCs w:val="17"/>
              </w:rPr>
              <w:t>Is the target by its location, purpose, or use making an effective contribution to military action?</w:t>
            </w:r>
          </w:p>
        </w:tc>
        <w:tc>
          <w:tcPr>
            <w:tcW w:w="267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F57" w14:textId="4F7C44A7" w:rsidR="00CF2859" w:rsidRPr="00072E13" w:rsidRDefault="00AE3F9E">
            <w:pPr>
              <w:spacing w:line="260" w:lineRule="auto"/>
              <w:rPr>
                <w:rFonts w:ascii="Calibri" w:hAnsi="Calibri" w:cs="Calibri"/>
                <w:sz w:val="17"/>
                <w:szCs w:val="17"/>
              </w:rPr>
            </w:pPr>
            <w:r w:rsidRPr="00072E13">
              <w:rPr>
                <w:rFonts w:ascii="Calibri" w:hAnsi="Calibri" w:cs="Calibri"/>
                <w:color w:val="444444"/>
                <w:sz w:val="17"/>
                <w:szCs w:val="17"/>
              </w:rPr>
              <w:t>Cannot be automated legal advisor review (LCA Mode B mandatory).</w:t>
            </w:r>
          </w:p>
        </w:tc>
      </w:tr>
      <w:tr w:rsidR="00CF2859" w:rsidRPr="00AE18A7" w14:paraId="28EF7F5D" w14:textId="77777777">
        <w:tc>
          <w:tcPr>
            <w:tcW w:w="18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F59" w14:textId="693BAB78" w:rsidR="00CF2859" w:rsidRPr="00072E13" w:rsidRDefault="00AE3F9E">
            <w:pPr>
              <w:spacing w:line="260" w:lineRule="auto"/>
              <w:rPr>
                <w:rFonts w:ascii="Calibri" w:hAnsi="Calibri" w:cs="Calibri"/>
                <w:sz w:val="17"/>
                <w:szCs w:val="17"/>
              </w:rPr>
            </w:pPr>
            <w:r w:rsidRPr="00072E13">
              <w:rPr>
                <w:rFonts w:ascii="Calibri" w:hAnsi="Calibri" w:cs="Calibri"/>
                <w:color w:val="444444"/>
                <w:sz w:val="17"/>
                <w:szCs w:val="17"/>
              </w:rPr>
              <w:t>Distinction confirmed non-civilian</w:t>
            </w:r>
          </w:p>
        </w:tc>
        <w:tc>
          <w:tcPr>
            <w:tcW w:w="16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F5A" w14:textId="77777777" w:rsidR="00CF2859" w:rsidRPr="00072E13" w:rsidRDefault="00AE3F9E">
            <w:pPr>
              <w:spacing w:line="260" w:lineRule="auto"/>
              <w:rPr>
                <w:rFonts w:ascii="Calibri" w:hAnsi="Calibri" w:cs="Calibri"/>
                <w:sz w:val="17"/>
                <w:szCs w:val="17"/>
              </w:rPr>
            </w:pPr>
            <w:r w:rsidRPr="00072E13">
              <w:rPr>
                <w:rFonts w:ascii="Calibri" w:hAnsi="Calibri" w:cs="Calibri"/>
                <w:color w:val="444444"/>
                <w:sz w:val="17"/>
                <w:szCs w:val="17"/>
              </w:rPr>
              <w:t>AP I Art. 48</w:t>
            </w:r>
          </w:p>
        </w:tc>
        <w:tc>
          <w:tcPr>
            <w:tcW w:w="30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F5B" w14:textId="77777777" w:rsidR="00CF2859" w:rsidRPr="00072E13" w:rsidRDefault="00AE3F9E">
            <w:pPr>
              <w:spacing w:line="260" w:lineRule="auto"/>
              <w:rPr>
                <w:rFonts w:ascii="Calibri" w:hAnsi="Calibri" w:cs="Calibri"/>
                <w:sz w:val="17"/>
                <w:szCs w:val="17"/>
              </w:rPr>
            </w:pPr>
            <w:r w:rsidRPr="00072E13">
              <w:rPr>
                <w:rFonts w:ascii="Calibri" w:hAnsi="Calibri" w:cs="Calibri"/>
                <w:color w:val="444444"/>
                <w:sz w:val="17"/>
                <w:szCs w:val="17"/>
              </w:rPr>
              <w:t>Is the target clearly and positively distinguished from civilian persons and civilian objects based on confirmed intelligence?</w:t>
            </w:r>
          </w:p>
        </w:tc>
        <w:tc>
          <w:tcPr>
            <w:tcW w:w="2672"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F5C" w14:textId="77777777" w:rsidR="00CF2859" w:rsidRPr="00072E13" w:rsidRDefault="00AE3F9E">
            <w:pPr>
              <w:spacing w:line="260" w:lineRule="auto"/>
              <w:rPr>
                <w:rFonts w:ascii="Calibri" w:hAnsi="Calibri" w:cs="Calibri"/>
                <w:sz w:val="17"/>
                <w:szCs w:val="17"/>
              </w:rPr>
            </w:pPr>
            <w:r w:rsidRPr="00072E13">
              <w:rPr>
                <w:rFonts w:ascii="Calibri" w:hAnsi="Calibri" w:cs="Calibri"/>
                <w:color w:val="444444"/>
                <w:sz w:val="17"/>
                <w:szCs w:val="17"/>
              </w:rPr>
              <w:t>If based solely on pattern-of-life inference: evidence class capped at 25. If unconfirmed: HARD BLOCK.</w:t>
            </w:r>
          </w:p>
        </w:tc>
      </w:tr>
      <w:tr w:rsidR="00CF2859" w:rsidRPr="00AE18A7" w14:paraId="28EF7F62"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F5E" w14:textId="77777777" w:rsidR="00CF2859" w:rsidRPr="00072E13" w:rsidRDefault="00AE3F9E">
            <w:pPr>
              <w:spacing w:line="260" w:lineRule="auto"/>
              <w:rPr>
                <w:rFonts w:ascii="Calibri" w:hAnsi="Calibri" w:cs="Calibri"/>
                <w:sz w:val="17"/>
                <w:szCs w:val="17"/>
              </w:rPr>
            </w:pPr>
            <w:r w:rsidRPr="00072E13">
              <w:rPr>
                <w:rFonts w:ascii="Calibri" w:hAnsi="Calibri" w:cs="Calibri"/>
                <w:color w:val="444444"/>
                <w:sz w:val="17"/>
                <w:szCs w:val="17"/>
              </w:rPr>
              <w:t>Presumption of civilian status</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F5F" w14:textId="77777777" w:rsidR="00CF2859" w:rsidRPr="00072E13" w:rsidRDefault="00AE3F9E">
            <w:pPr>
              <w:spacing w:line="260" w:lineRule="auto"/>
              <w:rPr>
                <w:rFonts w:ascii="Calibri" w:hAnsi="Calibri" w:cs="Calibri"/>
                <w:sz w:val="17"/>
                <w:szCs w:val="17"/>
              </w:rPr>
            </w:pPr>
            <w:r w:rsidRPr="00072E13">
              <w:rPr>
                <w:rFonts w:ascii="Calibri" w:hAnsi="Calibri" w:cs="Calibri"/>
                <w:color w:val="444444"/>
                <w:sz w:val="17"/>
                <w:szCs w:val="17"/>
              </w:rPr>
              <w:t>AP I Art. 50(1)</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F60" w14:textId="77777777" w:rsidR="00CF2859" w:rsidRPr="00072E13" w:rsidRDefault="00AE3F9E">
            <w:pPr>
              <w:spacing w:line="260" w:lineRule="auto"/>
              <w:rPr>
                <w:rFonts w:ascii="Calibri" w:hAnsi="Calibri" w:cs="Calibri"/>
                <w:sz w:val="17"/>
                <w:szCs w:val="17"/>
              </w:rPr>
            </w:pPr>
            <w:r w:rsidRPr="00072E13">
              <w:rPr>
                <w:rFonts w:ascii="Calibri" w:hAnsi="Calibri" w:cs="Calibri"/>
                <w:color w:val="444444"/>
                <w:sz w:val="17"/>
                <w:szCs w:val="17"/>
              </w:rPr>
              <w:t>Where status is in doubt, is the person being treated as civilian until positive combatant status is confirmed?</w:t>
            </w:r>
          </w:p>
        </w:tc>
        <w:tc>
          <w:tcPr>
            <w:tcW w:w="267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F61" w14:textId="213C1630" w:rsidR="00CF2859" w:rsidRPr="00072E13" w:rsidRDefault="00AE3F9E">
            <w:pPr>
              <w:spacing w:line="260" w:lineRule="auto"/>
              <w:rPr>
                <w:rFonts w:ascii="Calibri" w:hAnsi="Calibri" w:cs="Calibri"/>
                <w:sz w:val="17"/>
                <w:szCs w:val="17"/>
              </w:rPr>
            </w:pPr>
            <w:r w:rsidRPr="00072E13">
              <w:rPr>
                <w:rFonts w:ascii="Calibri" w:hAnsi="Calibri" w:cs="Calibri"/>
                <w:sz w:val="17"/>
                <w:szCs w:val="17"/>
              </w:rPr>
              <w:t xml:space="preserve">Default civilian presumption must be encoded. Uncertainty defaults to civilian at </w:t>
            </w:r>
            <w:r w:rsidR="008C67C1" w:rsidRPr="00072E13">
              <w:rPr>
                <w:rFonts w:ascii="Calibri" w:hAnsi="Calibri" w:cs="Calibri"/>
                <w:sz w:val="17"/>
                <w:szCs w:val="17"/>
              </w:rPr>
              <w:t>Layer -1</w:t>
            </w:r>
            <w:r w:rsidRPr="00072E13">
              <w:rPr>
                <w:rFonts w:ascii="Calibri" w:hAnsi="Calibri" w:cs="Calibri"/>
                <w:sz w:val="17"/>
                <w:szCs w:val="17"/>
              </w:rPr>
              <w:t>.</w:t>
            </w:r>
          </w:p>
        </w:tc>
      </w:tr>
    </w:tbl>
    <w:p w14:paraId="28EF7F63" w14:textId="77777777" w:rsidR="00CF2859" w:rsidRPr="00AE18A7" w:rsidRDefault="00CF2859">
      <w:pPr>
        <w:spacing w:before="60"/>
        <w:rPr>
          <w:rFonts w:ascii="Calibri" w:hAnsi="Calibri" w:cs="Calibri"/>
        </w:rPr>
      </w:pPr>
    </w:p>
    <w:p w14:paraId="28EF7F64" w14:textId="77777777" w:rsidR="00CF2859" w:rsidRPr="00AE18A7" w:rsidRDefault="00AE3F9E" w:rsidP="00EB5C87">
      <w:pPr>
        <w:pStyle w:val="Heading20"/>
      </w:pPr>
      <w:bookmarkStart w:id="35" w:name="_Toc229741700"/>
      <w:r w:rsidRPr="00AE18A7">
        <w:t>B.2 Proportionality</w:t>
      </w:r>
      <w:bookmarkEnd w:id="35"/>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3000"/>
        <w:gridCol w:w="2672"/>
      </w:tblGrid>
      <w:tr w:rsidR="00CF2859" w:rsidRPr="00AE18A7" w14:paraId="28EF7F69" w14:textId="77777777">
        <w:trPr>
          <w:tblHeader/>
        </w:trPr>
        <w:tc>
          <w:tcPr>
            <w:tcW w:w="1800" w:type="dxa"/>
            <w:tcBorders>
              <w:top w:val="single" w:sz="1" w:space="0" w:color="1A1A1A"/>
              <w:left w:val="single" w:sz="1" w:space="0" w:color="1A1A1A"/>
              <w:bottom w:val="single" w:sz="1" w:space="0" w:color="1A1A1A"/>
              <w:right w:val="single" w:sz="1" w:space="0" w:color="1A1A1A"/>
            </w:tcBorders>
            <w:shd w:val="clear" w:color="auto" w:fill="1A1A1A"/>
            <w:tcMar>
              <w:top w:w="60" w:type="dxa"/>
              <w:left w:w="100" w:type="dxa"/>
              <w:bottom w:w="60" w:type="dxa"/>
              <w:right w:w="100" w:type="dxa"/>
            </w:tcMar>
          </w:tcPr>
          <w:p w14:paraId="28EF7F65" w14:textId="77777777" w:rsidR="00CF2859" w:rsidRPr="00AE18A7" w:rsidRDefault="00AE3F9E">
            <w:pPr>
              <w:rPr>
                <w:rFonts w:ascii="Calibri" w:hAnsi="Calibri" w:cs="Calibri"/>
              </w:rPr>
            </w:pPr>
            <w:r w:rsidRPr="00AE18A7">
              <w:rPr>
                <w:rFonts w:ascii="Calibri" w:hAnsi="Calibri" w:cs="Calibri"/>
                <w:b/>
                <w:bCs/>
                <w:color w:val="FFFFFF"/>
                <w:sz w:val="17"/>
                <w:szCs w:val="17"/>
              </w:rPr>
              <w:t>Criterion</w:t>
            </w:r>
          </w:p>
        </w:tc>
        <w:tc>
          <w:tcPr>
            <w:tcW w:w="1600" w:type="dxa"/>
            <w:tcBorders>
              <w:top w:val="single" w:sz="1" w:space="0" w:color="1A1A1A"/>
              <w:left w:val="single" w:sz="1" w:space="0" w:color="1A1A1A"/>
              <w:bottom w:val="single" w:sz="1" w:space="0" w:color="1A1A1A"/>
              <w:right w:val="single" w:sz="1" w:space="0" w:color="1A1A1A"/>
            </w:tcBorders>
            <w:shd w:val="clear" w:color="auto" w:fill="1A1A1A"/>
            <w:tcMar>
              <w:top w:w="60" w:type="dxa"/>
              <w:left w:w="100" w:type="dxa"/>
              <w:bottom w:w="60" w:type="dxa"/>
              <w:right w:w="100" w:type="dxa"/>
            </w:tcMar>
          </w:tcPr>
          <w:p w14:paraId="28EF7F66" w14:textId="77777777" w:rsidR="00CF2859" w:rsidRPr="00AE18A7" w:rsidRDefault="00AE3F9E">
            <w:pPr>
              <w:rPr>
                <w:rFonts w:ascii="Calibri" w:hAnsi="Calibri" w:cs="Calibri"/>
              </w:rPr>
            </w:pPr>
            <w:r w:rsidRPr="00AE18A7">
              <w:rPr>
                <w:rFonts w:ascii="Calibri" w:hAnsi="Calibri" w:cs="Calibri"/>
                <w:b/>
                <w:bCs/>
                <w:color w:val="FFFFFF"/>
                <w:sz w:val="17"/>
                <w:szCs w:val="17"/>
              </w:rPr>
              <w:t>IHL Source</w:t>
            </w:r>
          </w:p>
        </w:tc>
        <w:tc>
          <w:tcPr>
            <w:tcW w:w="3000" w:type="dxa"/>
            <w:tcBorders>
              <w:top w:val="single" w:sz="1" w:space="0" w:color="1A1A1A"/>
              <w:left w:val="single" w:sz="1" w:space="0" w:color="1A1A1A"/>
              <w:bottom w:val="single" w:sz="1" w:space="0" w:color="1A1A1A"/>
              <w:right w:val="single" w:sz="1" w:space="0" w:color="1A1A1A"/>
            </w:tcBorders>
            <w:shd w:val="clear" w:color="auto" w:fill="1A1A1A"/>
            <w:tcMar>
              <w:top w:w="60" w:type="dxa"/>
              <w:left w:w="100" w:type="dxa"/>
              <w:bottom w:w="60" w:type="dxa"/>
              <w:right w:w="100" w:type="dxa"/>
            </w:tcMar>
          </w:tcPr>
          <w:p w14:paraId="28EF7F67" w14:textId="77777777" w:rsidR="00CF2859" w:rsidRPr="00AE18A7" w:rsidRDefault="00AE3F9E">
            <w:pPr>
              <w:rPr>
                <w:rFonts w:ascii="Calibri" w:hAnsi="Calibri" w:cs="Calibri"/>
              </w:rPr>
            </w:pPr>
            <w:r w:rsidRPr="00AE18A7">
              <w:rPr>
                <w:rFonts w:ascii="Calibri" w:hAnsi="Calibri" w:cs="Calibri"/>
                <w:b/>
                <w:bCs/>
                <w:color w:val="FFFFFF"/>
                <w:sz w:val="17"/>
                <w:szCs w:val="17"/>
              </w:rPr>
              <w:t>Assessment Question</w:t>
            </w:r>
          </w:p>
        </w:tc>
        <w:tc>
          <w:tcPr>
            <w:tcW w:w="2672" w:type="dxa"/>
            <w:tcBorders>
              <w:top w:val="single" w:sz="1" w:space="0" w:color="1A1A1A"/>
              <w:left w:val="single" w:sz="1" w:space="0" w:color="1A1A1A"/>
              <w:bottom w:val="single" w:sz="1" w:space="0" w:color="1A1A1A"/>
              <w:right w:val="single" w:sz="1" w:space="0" w:color="1A1A1A"/>
            </w:tcBorders>
            <w:shd w:val="clear" w:color="auto" w:fill="1A1A1A"/>
            <w:tcMar>
              <w:top w:w="60" w:type="dxa"/>
              <w:left w:w="100" w:type="dxa"/>
              <w:bottom w:w="60" w:type="dxa"/>
              <w:right w:w="100" w:type="dxa"/>
            </w:tcMar>
          </w:tcPr>
          <w:p w14:paraId="28EF7F68" w14:textId="77777777" w:rsidR="00CF2859" w:rsidRPr="00AE18A7" w:rsidRDefault="00AE3F9E">
            <w:pPr>
              <w:rPr>
                <w:rFonts w:ascii="Calibri" w:hAnsi="Calibri" w:cs="Calibri"/>
              </w:rPr>
            </w:pPr>
            <w:r w:rsidRPr="00AE18A7">
              <w:rPr>
                <w:rFonts w:ascii="Calibri" w:hAnsi="Calibri" w:cs="Calibri"/>
                <w:b/>
                <w:bCs/>
                <w:color w:val="FFFFFF"/>
                <w:sz w:val="17"/>
                <w:szCs w:val="17"/>
              </w:rPr>
              <w:t>Governance Consequence</w:t>
            </w:r>
          </w:p>
        </w:tc>
      </w:tr>
      <w:tr w:rsidR="00CF2859" w:rsidRPr="00AE18A7" w14:paraId="28EF7F6E" w14:textId="77777777">
        <w:tc>
          <w:tcPr>
            <w:tcW w:w="18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F6A" w14:textId="68856013" w:rsidR="00CF2859" w:rsidRPr="00AE18A7" w:rsidRDefault="00AE3F9E">
            <w:pPr>
              <w:spacing w:line="260" w:lineRule="auto"/>
              <w:rPr>
                <w:rFonts w:ascii="Calibri" w:hAnsi="Calibri" w:cs="Calibri"/>
              </w:rPr>
            </w:pPr>
            <w:r w:rsidRPr="00AE18A7">
              <w:rPr>
                <w:rFonts w:ascii="Calibri" w:hAnsi="Calibri" w:cs="Calibri"/>
                <w:color w:val="444444"/>
                <w:sz w:val="17"/>
                <w:szCs w:val="17"/>
              </w:rPr>
              <w:t>Proportionality anticipated civilian harm</w:t>
            </w:r>
          </w:p>
        </w:tc>
        <w:tc>
          <w:tcPr>
            <w:tcW w:w="16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F6B"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AP I Art. 51(5)(b)</w:t>
            </w:r>
          </w:p>
        </w:tc>
        <w:tc>
          <w:tcPr>
            <w:tcW w:w="30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F6C"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Is the anticipated incidental civilian harm excessive in relation to the concrete and direct military advantage anticipated?</w:t>
            </w:r>
          </w:p>
        </w:tc>
        <w:tc>
          <w:tcPr>
            <w:tcW w:w="2672"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F6D"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Automated assessment where CDE is clearly below threshold. Legal advisor review where within defined margin. HARD BLOCK where assessment identifies excessive harm.</w:t>
            </w:r>
          </w:p>
        </w:tc>
      </w:tr>
      <w:tr w:rsidR="00CF2859" w:rsidRPr="00AE18A7" w14:paraId="28EF7F73"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F6F" w14:textId="7098C9E3" w:rsidR="00CF2859" w:rsidRPr="00AE18A7" w:rsidRDefault="00AE3F9E">
            <w:pPr>
              <w:spacing w:line="260" w:lineRule="auto"/>
              <w:rPr>
                <w:rFonts w:ascii="Calibri" w:hAnsi="Calibri" w:cs="Calibri"/>
              </w:rPr>
            </w:pPr>
            <w:r w:rsidRPr="00AE18A7">
              <w:rPr>
                <w:rFonts w:ascii="Calibri" w:hAnsi="Calibri" w:cs="Calibri"/>
                <w:color w:val="444444"/>
                <w:sz w:val="17"/>
                <w:szCs w:val="17"/>
              </w:rPr>
              <w:t>Proportionality concrete and direct advantage</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F70"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AP I Art. 51(5)(b)</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F71"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Is the anticipated military advantage concrete (specific and identifiable) and direct (close causal relationship to the anticipated attack)?</w:t>
            </w:r>
          </w:p>
        </w:tc>
        <w:tc>
          <w:tcPr>
            <w:tcW w:w="267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F72"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Speculative or indirect advantage cannot support proportionality. Legal advisor confirmation required where characterisation is contested.</w:t>
            </w:r>
          </w:p>
        </w:tc>
      </w:tr>
      <w:tr w:rsidR="00CF2859" w:rsidRPr="00AE18A7" w14:paraId="28EF7F78" w14:textId="77777777">
        <w:tc>
          <w:tcPr>
            <w:tcW w:w="18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F74" w14:textId="1DE93C6E" w:rsidR="00CF2859" w:rsidRPr="00AE18A7" w:rsidRDefault="00AE3F9E">
            <w:pPr>
              <w:spacing w:line="260" w:lineRule="auto"/>
              <w:rPr>
                <w:rFonts w:ascii="Calibri" w:hAnsi="Calibri" w:cs="Calibri"/>
              </w:rPr>
            </w:pPr>
            <w:r w:rsidRPr="00AE18A7">
              <w:rPr>
                <w:rFonts w:ascii="Calibri" w:hAnsi="Calibri" w:cs="Calibri"/>
                <w:color w:val="444444"/>
                <w:sz w:val="17"/>
                <w:szCs w:val="17"/>
              </w:rPr>
              <w:t>Proportionality assessment timing</w:t>
            </w:r>
          </w:p>
        </w:tc>
        <w:tc>
          <w:tcPr>
            <w:tcW w:w="16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F75"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AP I Art. 57(2)(a)(iii)</w:t>
            </w:r>
          </w:p>
        </w:tc>
        <w:tc>
          <w:tcPr>
            <w:tcW w:w="30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F76"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Has the proportionality assessment been conducted before the decision to attack?</w:t>
            </w:r>
          </w:p>
        </w:tc>
        <w:tc>
          <w:tcPr>
            <w:tcW w:w="2672"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F77"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Pre-action audit record must exist before Layer 3 authorisation is sought. Assessment written after the decision is architecturally blocked.</w:t>
            </w:r>
          </w:p>
        </w:tc>
      </w:tr>
    </w:tbl>
    <w:p w14:paraId="28EF7F79" w14:textId="77777777" w:rsidR="00CF2859" w:rsidRPr="00AE18A7" w:rsidRDefault="00CF2859">
      <w:pPr>
        <w:spacing w:before="60"/>
        <w:rPr>
          <w:rFonts w:ascii="Calibri" w:hAnsi="Calibri" w:cs="Calibri"/>
        </w:rPr>
      </w:pPr>
    </w:p>
    <w:p w14:paraId="28EF7F7A" w14:textId="77777777" w:rsidR="00CF2859" w:rsidRPr="00AE18A7" w:rsidRDefault="00AE3F9E" w:rsidP="00EB5C87">
      <w:pPr>
        <w:pStyle w:val="Heading20"/>
      </w:pPr>
      <w:bookmarkStart w:id="36" w:name="_Toc229741701"/>
      <w:r w:rsidRPr="00AE18A7">
        <w:t>B.3 Precautions in Attack</w:t>
      </w:r>
      <w:bookmarkEnd w:id="36"/>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3000"/>
        <w:gridCol w:w="2672"/>
      </w:tblGrid>
      <w:tr w:rsidR="00CF2859" w:rsidRPr="00AE18A7" w14:paraId="28EF7F7F" w14:textId="77777777">
        <w:trPr>
          <w:tblHeader/>
        </w:trPr>
        <w:tc>
          <w:tcPr>
            <w:tcW w:w="1800" w:type="dxa"/>
            <w:tcBorders>
              <w:top w:val="single" w:sz="1" w:space="0" w:color="1A1A1A"/>
              <w:left w:val="single" w:sz="1" w:space="0" w:color="1A1A1A"/>
              <w:bottom w:val="single" w:sz="1" w:space="0" w:color="1A1A1A"/>
              <w:right w:val="single" w:sz="1" w:space="0" w:color="1A1A1A"/>
            </w:tcBorders>
            <w:shd w:val="clear" w:color="auto" w:fill="1A1A1A"/>
            <w:tcMar>
              <w:top w:w="60" w:type="dxa"/>
              <w:left w:w="100" w:type="dxa"/>
              <w:bottom w:w="60" w:type="dxa"/>
              <w:right w:w="100" w:type="dxa"/>
            </w:tcMar>
          </w:tcPr>
          <w:p w14:paraId="28EF7F7B" w14:textId="77777777" w:rsidR="00CF2859" w:rsidRPr="00AE18A7" w:rsidRDefault="00AE3F9E">
            <w:pPr>
              <w:rPr>
                <w:rFonts w:ascii="Calibri" w:hAnsi="Calibri" w:cs="Calibri"/>
              </w:rPr>
            </w:pPr>
            <w:r w:rsidRPr="00AE18A7">
              <w:rPr>
                <w:rFonts w:ascii="Calibri" w:hAnsi="Calibri" w:cs="Calibri"/>
                <w:b/>
                <w:bCs/>
                <w:color w:val="FFFFFF"/>
                <w:sz w:val="17"/>
                <w:szCs w:val="17"/>
              </w:rPr>
              <w:t>Criterion</w:t>
            </w:r>
          </w:p>
        </w:tc>
        <w:tc>
          <w:tcPr>
            <w:tcW w:w="1600" w:type="dxa"/>
            <w:tcBorders>
              <w:top w:val="single" w:sz="1" w:space="0" w:color="1A1A1A"/>
              <w:left w:val="single" w:sz="1" w:space="0" w:color="1A1A1A"/>
              <w:bottom w:val="single" w:sz="1" w:space="0" w:color="1A1A1A"/>
              <w:right w:val="single" w:sz="1" w:space="0" w:color="1A1A1A"/>
            </w:tcBorders>
            <w:shd w:val="clear" w:color="auto" w:fill="1A1A1A"/>
            <w:tcMar>
              <w:top w:w="60" w:type="dxa"/>
              <w:left w:w="100" w:type="dxa"/>
              <w:bottom w:w="60" w:type="dxa"/>
              <w:right w:w="100" w:type="dxa"/>
            </w:tcMar>
          </w:tcPr>
          <w:p w14:paraId="28EF7F7C" w14:textId="77777777" w:rsidR="00CF2859" w:rsidRPr="00AE18A7" w:rsidRDefault="00AE3F9E">
            <w:pPr>
              <w:rPr>
                <w:rFonts w:ascii="Calibri" w:hAnsi="Calibri" w:cs="Calibri"/>
              </w:rPr>
            </w:pPr>
            <w:r w:rsidRPr="00AE18A7">
              <w:rPr>
                <w:rFonts w:ascii="Calibri" w:hAnsi="Calibri" w:cs="Calibri"/>
                <w:b/>
                <w:bCs/>
                <w:color w:val="FFFFFF"/>
                <w:sz w:val="17"/>
                <w:szCs w:val="17"/>
              </w:rPr>
              <w:t>IHL Source</w:t>
            </w:r>
          </w:p>
        </w:tc>
        <w:tc>
          <w:tcPr>
            <w:tcW w:w="3000" w:type="dxa"/>
            <w:tcBorders>
              <w:top w:val="single" w:sz="1" w:space="0" w:color="1A1A1A"/>
              <w:left w:val="single" w:sz="1" w:space="0" w:color="1A1A1A"/>
              <w:bottom w:val="single" w:sz="1" w:space="0" w:color="1A1A1A"/>
              <w:right w:val="single" w:sz="1" w:space="0" w:color="1A1A1A"/>
            </w:tcBorders>
            <w:shd w:val="clear" w:color="auto" w:fill="1A1A1A"/>
            <w:tcMar>
              <w:top w:w="60" w:type="dxa"/>
              <w:left w:w="100" w:type="dxa"/>
              <w:bottom w:w="60" w:type="dxa"/>
              <w:right w:w="100" w:type="dxa"/>
            </w:tcMar>
          </w:tcPr>
          <w:p w14:paraId="28EF7F7D" w14:textId="77777777" w:rsidR="00CF2859" w:rsidRPr="00AE18A7" w:rsidRDefault="00AE3F9E">
            <w:pPr>
              <w:rPr>
                <w:rFonts w:ascii="Calibri" w:hAnsi="Calibri" w:cs="Calibri"/>
              </w:rPr>
            </w:pPr>
            <w:r w:rsidRPr="00AE18A7">
              <w:rPr>
                <w:rFonts w:ascii="Calibri" w:hAnsi="Calibri" w:cs="Calibri"/>
                <w:b/>
                <w:bCs/>
                <w:color w:val="FFFFFF"/>
                <w:sz w:val="17"/>
                <w:szCs w:val="17"/>
              </w:rPr>
              <w:t>Assessment Question</w:t>
            </w:r>
          </w:p>
        </w:tc>
        <w:tc>
          <w:tcPr>
            <w:tcW w:w="2672" w:type="dxa"/>
            <w:tcBorders>
              <w:top w:val="single" w:sz="1" w:space="0" w:color="1A1A1A"/>
              <w:left w:val="single" w:sz="1" w:space="0" w:color="1A1A1A"/>
              <w:bottom w:val="single" w:sz="1" w:space="0" w:color="1A1A1A"/>
              <w:right w:val="single" w:sz="1" w:space="0" w:color="1A1A1A"/>
            </w:tcBorders>
            <w:shd w:val="clear" w:color="auto" w:fill="1A1A1A"/>
            <w:tcMar>
              <w:top w:w="60" w:type="dxa"/>
              <w:left w:w="100" w:type="dxa"/>
              <w:bottom w:w="60" w:type="dxa"/>
              <w:right w:w="100" w:type="dxa"/>
            </w:tcMar>
          </w:tcPr>
          <w:p w14:paraId="28EF7F7E" w14:textId="77777777" w:rsidR="00CF2859" w:rsidRPr="00AE18A7" w:rsidRDefault="00AE3F9E">
            <w:pPr>
              <w:rPr>
                <w:rFonts w:ascii="Calibri" w:hAnsi="Calibri" w:cs="Calibri"/>
              </w:rPr>
            </w:pPr>
            <w:r w:rsidRPr="00AE18A7">
              <w:rPr>
                <w:rFonts w:ascii="Calibri" w:hAnsi="Calibri" w:cs="Calibri"/>
                <w:b/>
                <w:bCs/>
                <w:color w:val="FFFFFF"/>
                <w:sz w:val="17"/>
                <w:szCs w:val="17"/>
              </w:rPr>
              <w:t>Governance Consequence</w:t>
            </w:r>
          </w:p>
        </w:tc>
      </w:tr>
      <w:tr w:rsidR="00CF2859" w:rsidRPr="00AE18A7" w14:paraId="28EF7F84" w14:textId="77777777">
        <w:tc>
          <w:tcPr>
            <w:tcW w:w="18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F80"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Target verification</w:t>
            </w:r>
          </w:p>
        </w:tc>
        <w:tc>
          <w:tcPr>
            <w:tcW w:w="16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F81"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AP I Art. 57(2)(a)(i)</w:t>
            </w:r>
          </w:p>
        </w:tc>
        <w:tc>
          <w:tcPr>
            <w:tcW w:w="30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F82"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Has everything feasible been done to verify the target is a military objective and not civilian?</w:t>
            </w:r>
          </w:p>
        </w:tc>
        <w:tc>
          <w:tcPr>
            <w:tcW w:w="2672"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F83"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Algorithm-only identification: HARD BLOCK at Layer 1. Single source without cross-cue: HARD BLOCK for Tier L3 at Layer 0.</w:t>
            </w:r>
          </w:p>
        </w:tc>
      </w:tr>
      <w:tr w:rsidR="00CF2859" w:rsidRPr="00AE18A7" w14:paraId="28EF7F89"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F85" w14:textId="69886E89" w:rsidR="00CF2859" w:rsidRPr="00AE18A7" w:rsidRDefault="00AE3F9E">
            <w:pPr>
              <w:spacing w:line="260" w:lineRule="auto"/>
              <w:rPr>
                <w:rFonts w:ascii="Calibri" w:hAnsi="Calibri" w:cs="Calibri"/>
              </w:rPr>
            </w:pPr>
            <w:r w:rsidRPr="00AE18A7">
              <w:rPr>
                <w:rFonts w:ascii="Calibri" w:hAnsi="Calibri" w:cs="Calibri"/>
                <w:color w:val="444444"/>
                <w:sz w:val="17"/>
                <w:szCs w:val="17"/>
              </w:rPr>
              <w:t>Choice of means least civilian harm</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F86"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AP I Art. 57(2)(a)(ii)</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F87"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Among available means, have those causing least danger to civilian lives been chosen?</w:t>
            </w:r>
          </w:p>
        </w:tc>
        <w:tc>
          <w:tcPr>
            <w:tcW w:w="267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F88"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 xml:space="preserve">Alternative means with materially less civilian harm and feasible: </w:t>
            </w:r>
            <w:r w:rsidRPr="00AE18A7">
              <w:rPr>
                <w:rFonts w:ascii="Calibri" w:hAnsi="Calibri" w:cs="Calibri"/>
                <w:color w:val="444444"/>
                <w:sz w:val="17"/>
                <w:szCs w:val="17"/>
              </w:rPr>
              <w:lastRenderedPageBreak/>
              <w:t>selection of higher-harm means requires legal advisor justification.</w:t>
            </w:r>
          </w:p>
        </w:tc>
      </w:tr>
      <w:tr w:rsidR="00CF2859" w:rsidRPr="00AE18A7" w14:paraId="28EF7F8E" w14:textId="77777777">
        <w:tc>
          <w:tcPr>
            <w:tcW w:w="18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F8A"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lastRenderedPageBreak/>
              <w:t>Effective advance warning</w:t>
            </w:r>
          </w:p>
        </w:tc>
        <w:tc>
          <w:tcPr>
            <w:tcW w:w="16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F8B"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AP I Art. 57(2)(c)</w:t>
            </w:r>
          </w:p>
        </w:tc>
        <w:tc>
          <w:tcPr>
            <w:tcW w:w="30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F8C"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Has effective advance warning been given to civilians, unless circumstances do not permit?</w:t>
            </w:r>
          </w:p>
        </w:tc>
        <w:tc>
          <w:tcPr>
            <w:tcW w:w="2672"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F8D"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If warning is feasible and not given without documented rationale: legal advisor review required.</w:t>
            </w:r>
          </w:p>
        </w:tc>
      </w:tr>
      <w:tr w:rsidR="00CF2859" w:rsidRPr="00AE18A7" w14:paraId="28EF7F93"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F8F" w14:textId="17992CD0" w:rsidR="00CF2859" w:rsidRPr="00AE18A7" w:rsidRDefault="00AE3F9E">
            <w:pPr>
              <w:spacing w:line="260" w:lineRule="auto"/>
              <w:rPr>
                <w:rFonts w:ascii="Calibri" w:hAnsi="Calibri" w:cs="Calibri"/>
              </w:rPr>
            </w:pPr>
            <w:r w:rsidRPr="00AE18A7">
              <w:rPr>
                <w:rFonts w:ascii="Calibri" w:hAnsi="Calibri" w:cs="Calibri"/>
                <w:color w:val="444444"/>
                <w:sz w:val="17"/>
                <w:szCs w:val="17"/>
              </w:rPr>
              <w:t>Attack cancellation changed circumstances</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F90"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AP I Art. 57(2)(b)</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F91"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If it becomes apparent that excessive civilian harm will result, will the attack be cancelled or suspended?</w:t>
            </w:r>
          </w:p>
        </w:tc>
        <w:tc>
          <w:tcPr>
            <w:tcW w:w="267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F92"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Any change in assessment basis after token issuance requires reassessment. Token expiry (15 minutes for L3) is designed to force this check.</w:t>
            </w:r>
          </w:p>
        </w:tc>
      </w:tr>
      <w:tr w:rsidR="00CF2859" w:rsidRPr="00AE18A7" w14:paraId="28EF7F98" w14:textId="77777777">
        <w:tc>
          <w:tcPr>
            <w:tcW w:w="18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F94"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Choice of attack objective</w:t>
            </w:r>
          </w:p>
        </w:tc>
        <w:tc>
          <w:tcPr>
            <w:tcW w:w="16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F95"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AP I Art. 57(3)</w:t>
            </w:r>
          </w:p>
        </w:tc>
        <w:tc>
          <w:tcPr>
            <w:tcW w:w="30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F96"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When a choice is possible between several objectives achieving similar advantage, has the one expected to cause least civilian danger been selected?</w:t>
            </w:r>
          </w:p>
        </w:tc>
        <w:tc>
          <w:tcPr>
            <w:tcW w:w="2672"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F97" w14:textId="77777777" w:rsidR="00CF2859" w:rsidRPr="00AE18A7" w:rsidRDefault="00AE3F9E">
            <w:pPr>
              <w:spacing w:line="260" w:lineRule="auto"/>
              <w:rPr>
                <w:rFonts w:ascii="Calibri" w:hAnsi="Calibri" w:cs="Calibri"/>
              </w:rPr>
            </w:pPr>
            <w:r w:rsidRPr="00AE18A7">
              <w:rPr>
                <w:rFonts w:ascii="Calibri" w:hAnsi="Calibri" w:cs="Calibri"/>
                <w:color w:val="444444"/>
                <w:sz w:val="17"/>
                <w:szCs w:val="17"/>
              </w:rPr>
              <w:t>Multi-objective scenarios require documented comparative assessment. Legal advisor review where objectives differ in civilian harm potential.</w:t>
            </w:r>
          </w:p>
        </w:tc>
      </w:tr>
    </w:tbl>
    <w:p w14:paraId="28EF7F99" w14:textId="77777777" w:rsidR="00CF2859" w:rsidRPr="00AE18A7" w:rsidRDefault="00CF2859">
      <w:pPr>
        <w:spacing w:before="60"/>
        <w:rPr>
          <w:rFonts w:ascii="Calibri" w:hAnsi="Calibri" w:cs="Calibri"/>
        </w:rPr>
      </w:pPr>
    </w:p>
    <w:p w14:paraId="28EF7F9A" w14:textId="77777777" w:rsidR="00CF2859" w:rsidRPr="00AE18A7" w:rsidRDefault="00AE3F9E" w:rsidP="00EB5C87">
      <w:pPr>
        <w:pStyle w:val="Heading20"/>
      </w:pPr>
      <w:bookmarkStart w:id="37" w:name="_Toc229741702"/>
      <w:r w:rsidRPr="00AE18A7">
        <w:t>B.4 Specific Prohibitions</w:t>
      </w:r>
      <w:bookmarkEnd w:id="37"/>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3000"/>
        <w:gridCol w:w="2672"/>
      </w:tblGrid>
      <w:tr w:rsidR="00CF2859" w:rsidRPr="00AE18A7" w14:paraId="28EF7F9F" w14:textId="77777777">
        <w:trPr>
          <w:tblHeader/>
        </w:trPr>
        <w:tc>
          <w:tcPr>
            <w:tcW w:w="1800" w:type="dxa"/>
            <w:tcBorders>
              <w:top w:val="single" w:sz="1" w:space="0" w:color="1A1A1A"/>
              <w:left w:val="single" w:sz="1" w:space="0" w:color="1A1A1A"/>
              <w:bottom w:val="single" w:sz="1" w:space="0" w:color="1A1A1A"/>
              <w:right w:val="single" w:sz="1" w:space="0" w:color="1A1A1A"/>
            </w:tcBorders>
            <w:shd w:val="clear" w:color="auto" w:fill="1A1A1A"/>
            <w:tcMar>
              <w:top w:w="60" w:type="dxa"/>
              <w:left w:w="100" w:type="dxa"/>
              <w:bottom w:w="60" w:type="dxa"/>
              <w:right w:w="100" w:type="dxa"/>
            </w:tcMar>
          </w:tcPr>
          <w:p w14:paraId="28EF7F9B" w14:textId="77777777" w:rsidR="00CF2859" w:rsidRPr="00AE18A7" w:rsidRDefault="00AE3F9E">
            <w:pPr>
              <w:rPr>
                <w:rFonts w:ascii="Calibri" w:hAnsi="Calibri" w:cs="Calibri"/>
              </w:rPr>
            </w:pPr>
            <w:r w:rsidRPr="00AE18A7">
              <w:rPr>
                <w:rFonts w:ascii="Calibri" w:hAnsi="Calibri" w:cs="Calibri"/>
                <w:b/>
                <w:bCs/>
                <w:color w:val="FFFFFF"/>
                <w:sz w:val="17"/>
                <w:szCs w:val="17"/>
              </w:rPr>
              <w:t>Criterion</w:t>
            </w:r>
          </w:p>
        </w:tc>
        <w:tc>
          <w:tcPr>
            <w:tcW w:w="1600" w:type="dxa"/>
            <w:tcBorders>
              <w:top w:val="single" w:sz="1" w:space="0" w:color="1A1A1A"/>
              <w:left w:val="single" w:sz="1" w:space="0" w:color="1A1A1A"/>
              <w:bottom w:val="single" w:sz="1" w:space="0" w:color="1A1A1A"/>
              <w:right w:val="single" w:sz="1" w:space="0" w:color="1A1A1A"/>
            </w:tcBorders>
            <w:shd w:val="clear" w:color="auto" w:fill="1A1A1A"/>
            <w:tcMar>
              <w:top w:w="60" w:type="dxa"/>
              <w:left w:w="100" w:type="dxa"/>
              <w:bottom w:w="60" w:type="dxa"/>
              <w:right w:w="100" w:type="dxa"/>
            </w:tcMar>
          </w:tcPr>
          <w:p w14:paraId="28EF7F9C" w14:textId="77777777" w:rsidR="00CF2859" w:rsidRPr="00AE18A7" w:rsidRDefault="00AE3F9E">
            <w:pPr>
              <w:rPr>
                <w:rFonts w:ascii="Calibri" w:hAnsi="Calibri" w:cs="Calibri"/>
              </w:rPr>
            </w:pPr>
            <w:r w:rsidRPr="00AE18A7">
              <w:rPr>
                <w:rFonts w:ascii="Calibri" w:hAnsi="Calibri" w:cs="Calibri"/>
                <w:b/>
                <w:bCs/>
                <w:color w:val="FFFFFF"/>
                <w:sz w:val="17"/>
                <w:szCs w:val="17"/>
              </w:rPr>
              <w:t>IHL Source</w:t>
            </w:r>
          </w:p>
        </w:tc>
        <w:tc>
          <w:tcPr>
            <w:tcW w:w="3000" w:type="dxa"/>
            <w:tcBorders>
              <w:top w:val="single" w:sz="1" w:space="0" w:color="1A1A1A"/>
              <w:left w:val="single" w:sz="1" w:space="0" w:color="1A1A1A"/>
              <w:bottom w:val="single" w:sz="1" w:space="0" w:color="1A1A1A"/>
              <w:right w:val="single" w:sz="1" w:space="0" w:color="1A1A1A"/>
            </w:tcBorders>
            <w:shd w:val="clear" w:color="auto" w:fill="1A1A1A"/>
            <w:tcMar>
              <w:top w:w="60" w:type="dxa"/>
              <w:left w:w="100" w:type="dxa"/>
              <w:bottom w:w="60" w:type="dxa"/>
              <w:right w:w="100" w:type="dxa"/>
            </w:tcMar>
          </w:tcPr>
          <w:p w14:paraId="28EF7F9D" w14:textId="77777777" w:rsidR="00CF2859" w:rsidRPr="00AE18A7" w:rsidRDefault="00AE3F9E">
            <w:pPr>
              <w:rPr>
                <w:rFonts w:ascii="Calibri" w:hAnsi="Calibri" w:cs="Calibri"/>
              </w:rPr>
            </w:pPr>
            <w:r w:rsidRPr="00AE18A7">
              <w:rPr>
                <w:rFonts w:ascii="Calibri" w:hAnsi="Calibri" w:cs="Calibri"/>
                <w:b/>
                <w:bCs/>
                <w:color w:val="FFFFFF"/>
                <w:sz w:val="17"/>
                <w:szCs w:val="17"/>
              </w:rPr>
              <w:t>Assessment Question</w:t>
            </w:r>
          </w:p>
        </w:tc>
        <w:tc>
          <w:tcPr>
            <w:tcW w:w="2672" w:type="dxa"/>
            <w:tcBorders>
              <w:top w:val="single" w:sz="1" w:space="0" w:color="1A1A1A"/>
              <w:left w:val="single" w:sz="1" w:space="0" w:color="1A1A1A"/>
              <w:bottom w:val="single" w:sz="1" w:space="0" w:color="1A1A1A"/>
              <w:right w:val="single" w:sz="1" w:space="0" w:color="1A1A1A"/>
            </w:tcBorders>
            <w:shd w:val="clear" w:color="auto" w:fill="1A1A1A"/>
            <w:tcMar>
              <w:top w:w="60" w:type="dxa"/>
              <w:left w:w="100" w:type="dxa"/>
              <w:bottom w:w="60" w:type="dxa"/>
              <w:right w:w="100" w:type="dxa"/>
            </w:tcMar>
          </w:tcPr>
          <w:p w14:paraId="28EF7F9E" w14:textId="77777777" w:rsidR="00CF2859" w:rsidRPr="00AE18A7" w:rsidRDefault="00AE3F9E">
            <w:pPr>
              <w:rPr>
                <w:rFonts w:ascii="Calibri" w:hAnsi="Calibri" w:cs="Calibri"/>
              </w:rPr>
            </w:pPr>
            <w:r w:rsidRPr="00AE18A7">
              <w:rPr>
                <w:rFonts w:ascii="Calibri" w:hAnsi="Calibri" w:cs="Calibri"/>
                <w:b/>
                <w:bCs/>
                <w:color w:val="FFFFFF"/>
                <w:sz w:val="17"/>
                <w:szCs w:val="17"/>
              </w:rPr>
              <w:t>Governance Consequence</w:t>
            </w:r>
          </w:p>
        </w:tc>
      </w:tr>
      <w:tr w:rsidR="00CF2859" w:rsidRPr="00AE18A7" w14:paraId="28EF7FA4" w14:textId="77777777">
        <w:tc>
          <w:tcPr>
            <w:tcW w:w="18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FA0" w14:textId="77777777" w:rsidR="00CF2859" w:rsidRPr="006B4966" w:rsidRDefault="00AE3F9E">
            <w:pPr>
              <w:spacing w:line="260" w:lineRule="auto"/>
              <w:rPr>
                <w:rFonts w:ascii="Calibri" w:hAnsi="Calibri" w:cs="Calibri"/>
                <w:sz w:val="17"/>
                <w:szCs w:val="17"/>
              </w:rPr>
            </w:pPr>
            <w:r w:rsidRPr="006B4966">
              <w:rPr>
                <w:rFonts w:ascii="Calibri" w:hAnsi="Calibri" w:cs="Calibri"/>
                <w:color w:val="444444"/>
                <w:sz w:val="17"/>
                <w:szCs w:val="17"/>
              </w:rPr>
              <w:t>Prohibition of perfidy</w:t>
            </w:r>
          </w:p>
        </w:tc>
        <w:tc>
          <w:tcPr>
            <w:tcW w:w="16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FA1" w14:textId="77777777" w:rsidR="00CF2859" w:rsidRPr="006B4966" w:rsidRDefault="00AE3F9E">
            <w:pPr>
              <w:spacing w:line="260" w:lineRule="auto"/>
              <w:rPr>
                <w:rFonts w:ascii="Calibri" w:hAnsi="Calibri" w:cs="Calibri"/>
                <w:sz w:val="17"/>
                <w:szCs w:val="17"/>
              </w:rPr>
            </w:pPr>
            <w:r w:rsidRPr="006B4966">
              <w:rPr>
                <w:rFonts w:ascii="Calibri" w:hAnsi="Calibri" w:cs="Calibri"/>
                <w:color w:val="444444"/>
                <w:sz w:val="17"/>
                <w:szCs w:val="17"/>
              </w:rPr>
              <w:t>AP I Art. 37</w:t>
            </w:r>
          </w:p>
        </w:tc>
        <w:tc>
          <w:tcPr>
            <w:tcW w:w="30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FA2" w14:textId="77777777" w:rsidR="00CF2859" w:rsidRPr="006B4966" w:rsidRDefault="00AE3F9E">
            <w:pPr>
              <w:spacing w:line="260" w:lineRule="auto"/>
              <w:rPr>
                <w:rFonts w:ascii="Calibri" w:hAnsi="Calibri" w:cs="Calibri"/>
                <w:sz w:val="17"/>
                <w:szCs w:val="17"/>
              </w:rPr>
            </w:pPr>
            <w:r w:rsidRPr="006B4966">
              <w:rPr>
                <w:rFonts w:ascii="Calibri" w:hAnsi="Calibri" w:cs="Calibri"/>
                <w:color w:val="444444"/>
                <w:sz w:val="17"/>
                <w:szCs w:val="17"/>
              </w:rPr>
              <w:t>Does the recommended action involve inviting adversary confidence by feigning protected status, with intent to betray that confidence?</w:t>
            </w:r>
          </w:p>
        </w:tc>
        <w:tc>
          <w:tcPr>
            <w:tcW w:w="2672"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FA3" w14:textId="45594969" w:rsidR="00CF2859" w:rsidRPr="006B4966" w:rsidRDefault="00AE3F9E">
            <w:pPr>
              <w:spacing w:line="260" w:lineRule="auto"/>
              <w:rPr>
                <w:rFonts w:ascii="Calibri" w:hAnsi="Calibri" w:cs="Calibri"/>
                <w:sz w:val="17"/>
                <w:szCs w:val="17"/>
              </w:rPr>
            </w:pPr>
            <w:r w:rsidRPr="006B4966">
              <w:rPr>
                <w:rFonts w:ascii="Calibri" w:hAnsi="Calibri" w:cs="Calibri"/>
                <w:sz w:val="17"/>
                <w:szCs w:val="17"/>
              </w:rPr>
              <w:t xml:space="preserve">Perfidy is absolutely prohibited. Encoded as a </w:t>
            </w:r>
            <w:r w:rsidR="008C67C1" w:rsidRPr="006B4966">
              <w:rPr>
                <w:rFonts w:ascii="Calibri" w:hAnsi="Calibri" w:cs="Calibri"/>
                <w:sz w:val="17"/>
                <w:szCs w:val="17"/>
              </w:rPr>
              <w:t>Layer -1</w:t>
            </w:r>
            <w:r w:rsidRPr="006B4966">
              <w:rPr>
                <w:rFonts w:ascii="Calibri" w:hAnsi="Calibri" w:cs="Calibri"/>
                <w:sz w:val="17"/>
                <w:szCs w:val="17"/>
              </w:rPr>
              <w:t xml:space="preserve"> categorical prohibition.</w:t>
            </w:r>
          </w:p>
        </w:tc>
      </w:tr>
      <w:tr w:rsidR="00CF2859" w:rsidRPr="00AE18A7" w14:paraId="28EF7FA9"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FA5" w14:textId="60010AE3" w:rsidR="00CF2859" w:rsidRPr="006B4966" w:rsidRDefault="00AE3F9E">
            <w:pPr>
              <w:spacing w:line="260" w:lineRule="auto"/>
              <w:rPr>
                <w:rFonts w:ascii="Calibri" w:hAnsi="Calibri" w:cs="Calibri"/>
                <w:sz w:val="17"/>
                <w:szCs w:val="17"/>
              </w:rPr>
            </w:pPr>
            <w:r w:rsidRPr="006B4966">
              <w:rPr>
                <w:rFonts w:ascii="Calibri" w:hAnsi="Calibri" w:cs="Calibri"/>
                <w:color w:val="444444"/>
                <w:sz w:val="17"/>
                <w:szCs w:val="17"/>
              </w:rPr>
              <w:t>Prohibition of indiscriminate attack area weapon</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FA6" w14:textId="77777777" w:rsidR="00CF2859" w:rsidRPr="006B4966" w:rsidRDefault="00AE3F9E">
            <w:pPr>
              <w:spacing w:line="260" w:lineRule="auto"/>
              <w:rPr>
                <w:rFonts w:ascii="Calibri" w:hAnsi="Calibri" w:cs="Calibri"/>
                <w:sz w:val="17"/>
                <w:szCs w:val="17"/>
              </w:rPr>
            </w:pPr>
            <w:r w:rsidRPr="006B4966">
              <w:rPr>
                <w:rFonts w:ascii="Calibri" w:hAnsi="Calibri" w:cs="Calibri"/>
                <w:color w:val="444444"/>
                <w:sz w:val="17"/>
                <w:szCs w:val="17"/>
              </w:rPr>
              <w:t>AP I Art. 51(4)(b)</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FA7" w14:textId="77777777" w:rsidR="00CF2859" w:rsidRPr="006B4966" w:rsidRDefault="00AE3F9E">
            <w:pPr>
              <w:spacing w:line="260" w:lineRule="auto"/>
              <w:rPr>
                <w:rFonts w:ascii="Calibri" w:hAnsi="Calibri" w:cs="Calibri"/>
                <w:sz w:val="17"/>
                <w:szCs w:val="17"/>
              </w:rPr>
            </w:pPr>
            <w:r w:rsidRPr="006B4966">
              <w:rPr>
                <w:rFonts w:ascii="Calibri" w:hAnsi="Calibri" w:cs="Calibri"/>
                <w:color w:val="444444"/>
                <w:sz w:val="17"/>
                <w:szCs w:val="17"/>
              </w:rPr>
              <w:t>If an area weapon is involved, can the effects be confined to the specific military objective?</w:t>
            </w:r>
          </w:p>
        </w:tc>
        <w:tc>
          <w:tcPr>
            <w:tcW w:w="267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FA8" w14:textId="77777777" w:rsidR="00CF2859" w:rsidRPr="006B4966" w:rsidRDefault="00AE3F9E">
            <w:pPr>
              <w:spacing w:line="260" w:lineRule="auto"/>
              <w:rPr>
                <w:rFonts w:ascii="Calibri" w:hAnsi="Calibri" w:cs="Calibri"/>
                <w:sz w:val="17"/>
                <w:szCs w:val="17"/>
              </w:rPr>
            </w:pPr>
            <w:r w:rsidRPr="006B4966">
              <w:rPr>
                <w:rFonts w:ascii="Calibri" w:hAnsi="Calibri" w:cs="Calibri"/>
                <w:color w:val="444444"/>
                <w:sz w:val="17"/>
                <w:szCs w:val="17"/>
              </w:rPr>
              <w:t>If area effect cannot be confined and civilian presence is confirmed: HARD BLOCK at Layer 0 CDE assessment.</w:t>
            </w:r>
          </w:p>
        </w:tc>
      </w:tr>
      <w:tr w:rsidR="00CF2859" w:rsidRPr="00AE18A7" w14:paraId="28EF7FAE" w14:textId="77777777">
        <w:tc>
          <w:tcPr>
            <w:tcW w:w="18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FAA" w14:textId="1084659E" w:rsidR="00CF2859" w:rsidRPr="006B4966" w:rsidRDefault="00AE3F9E">
            <w:pPr>
              <w:spacing w:line="260" w:lineRule="auto"/>
              <w:rPr>
                <w:rFonts w:ascii="Calibri" w:hAnsi="Calibri" w:cs="Calibri"/>
                <w:sz w:val="17"/>
                <w:szCs w:val="17"/>
              </w:rPr>
            </w:pPr>
            <w:r w:rsidRPr="006B4966">
              <w:rPr>
                <w:rFonts w:ascii="Calibri" w:hAnsi="Calibri" w:cs="Calibri"/>
                <w:color w:val="444444"/>
                <w:sz w:val="17"/>
                <w:szCs w:val="17"/>
              </w:rPr>
              <w:t>Prohibition of indiscriminate attack method</w:t>
            </w:r>
          </w:p>
        </w:tc>
        <w:tc>
          <w:tcPr>
            <w:tcW w:w="16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FAB" w14:textId="77777777" w:rsidR="00CF2859" w:rsidRPr="006B4966" w:rsidRDefault="00AE3F9E">
            <w:pPr>
              <w:spacing w:line="260" w:lineRule="auto"/>
              <w:rPr>
                <w:rFonts w:ascii="Calibri" w:hAnsi="Calibri" w:cs="Calibri"/>
                <w:sz w:val="17"/>
                <w:szCs w:val="17"/>
              </w:rPr>
            </w:pPr>
            <w:r w:rsidRPr="006B4966">
              <w:rPr>
                <w:rFonts w:ascii="Calibri" w:hAnsi="Calibri" w:cs="Calibri"/>
                <w:color w:val="444444"/>
                <w:sz w:val="17"/>
                <w:szCs w:val="17"/>
              </w:rPr>
              <w:t>AP I Art. 51(4)(b)</w:t>
            </w:r>
          </w:p>
        </w:tc>
        <w:tc>
          <w:tcPr>
            <w:tcW w:w="3000"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FAC" w14:textId="77777777" w:rsidR="00CF2859" w:rsidRPr="006B4966" w:rsidRDefault="00AE3F9E">
            <w:pPr>
              <w:spacing w:line="260" w:lineRule="auto"/>
              <w:rPr>
                <w:rFonts w:ascii="Calibri" w:hAnsi="Calibri" w:cs="Calibri"/>
                <w:sz w:val="17"/>
                <w:szCs w:val="17"/>
              </w:rPr>
            </w:pPr>
            <w:r w:rsidRPr="006B4966">
              <w:rPr>
                <w:rFonts w:ascii="Calibri" w:hAnsi="Calibri" w:cs="Calibri"/>
                <w:color w:val="444444"/>
                <w:sz w:val="17"/>
                <w:szCs w:val="17"/>
              </w:rPr>
              <w:t>Is the method of attack one that cannot be directed at a specific military objective?</w:t>
            </w:r>
          </w:p>
        </w:tc>
        <w:tc>
          <w:tcPr>
            <w:tcW w:w="2672" w:type="dxa"/>
            <w:tcBorders>
              <w:top w:val="single" w:sz="1" w:space="0" w:color="BBBBBB"/>
              <w:left w:val="single" w:sz="1" w:space="0" w:color="BBBBBB"/>
              <w:bottom w:val="single" w:sz="1" w:space="0" w:color="BBBBBB"/>
              <w:right w:val="single" w:sz="1" w:space="0" w:color="BBBBBB"/>
            </w:tcBorders>
            <w:shd w:val="clear" w:color="auto" w:fill="F7F7F7"/>
            <w:tcMar>
              <w:top w:w="60" w:type="dxa"/>
              <w:left w:w="100" w:type="dxa"/>
              <w:bottom w:w="60" w:type="dxa"/>
              <w:right w:w="100" w:type="dxa"/>
            </w:tcMar>
          </w:tcPr>
          <w:p w14:paraId="28EF7FAD" w14:textId="07982863" w:rsidR="00CF2859" w:rsidRPr="006B4966" w:rsidRDefault="00AE3F9E">
            <w:pPr>
              <w:spacing w:line="260" w:lineRule="auto"/>
              <w:rPr>
                <w:rFonts w:ascii="Calibri" w:hAnsi="Calibri" w:cs="Calibri"/>
                <w:sz w:val="17"/>
                <w:szCs w:val="17"/>
              </w:rPr>
            </w:pPr>
            <w:r w:rsidRPr="006B4966">
              <w:rPr>
                <w:rFonts w:ascii="Calibri" w:hAnsi="Calibri" w:cs="Calibri"/>
                <w:sz w:val="17"/>
                <w:szCs w:val="17"/>
              </w:rPr>
              <w:t xml:space="preserve">Indiscriminate methods absolutely prohibited at </w:t>
            </w:r>
            <w:r w:rsidR="008C67C1" w:rsidRPr="006B4966">
              <w:rPr>
                <w:rFonts w:ascii="Calibri" w:hAnsi="Calibri" w:cs="Calibri"/>
                <w:sz w:val="17"/>
                <w:szCs w:val="17"/>
              </w:rPr>
              <w:t>Layer -1</w:t>
            </w:r>
            <w:r w:rsidRPr="006B4966">
              <w:rPr>
                <w:rFonts w:ascii="Calibri" w:hAnsi="Calibri" w:cs="Calibri"/>
                <w:sz w:val="17"/>
                <w:szCs w:val="17"/>
              </w:rPr>
              <w:t>. Layer 0 provides the documented factual basis.</w:t>
            </w:r>
          </w:p>
        </w:tc>
      </w:tr>
      <w:tr w:rsidR="00CF2859" w:rsidRPr="00AE18A7" w14:paraId="28EF7FB3"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FAF" w14:textId="77777777" w:rsidR="00CF2859" w:rsidRPr="006B4966" w:rsidRDefault="00AE3F9E">
            <w:pPr>
              <w:spacing w:line="260" w:lineRule="auto"/>
              <w:rPr>
                <w:rFonts w:ascii="Calibri" w:hAnsi="Calibri" w:cs="Calibri"/>
                <w:sz w:val="17"/>
                <w:szCs w:val="17"/>
              </w:rPr>
            </w:pPr>
            <w:r w:rsidRPr="006B4966">
              <w:rPr>
                <w:rFonts w:ascii="Calibri" w:hAnsi="Calibri" w:cs="Calibri"/>
                <w:color w:val="444444"/>
                <w:sz w:val="17"/>
                <w:szCs w:val="17"/>
              </w:rPr>
              <w:t>Prohibition of attacks on undefended places</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FB0" w14:textId="77777777" w:rsidR="00CF2859" w:rsidRPr="006B4966" w:rsidRDefault="00AE3F9E">
            <w:pPr>
              <w:spacing w:line="260" w:lineRule="auto"/>
              <w:rPr>
                <w:rFonts w:ascii="Calibri" w:hAnsi="Calibri" w:cs="Calibri"/>
                <w:sz w:val="17"/>
                <w:szCs w:val="17"/>
              </w:rPr>
            </w:pPr>
            <w:r w:rsidRPr="006B4966">
              <w:rPr>
                <w:rFonts w:ascii="Calibri" w:hAnsi="Calibri" w:cs="Calibri"/>
                <w:color w:val="444444"/>
                <w:sz w:val="17"/>
                <w:szCs w:val="17"/>
              </w:rPr>
              <w:t>AP I Art. 59, HR Art. 25</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FB1" w14:textId="77777777" w:rsidR="00CF2859" w:rsidRPr="006B4966" w:rsidRDefault="00AE3F9E">
            <w:pPr>
              <w:spacing w:line="260" w:lineRule="auto"/>
              <w:rPr>
                <w:rFonts w:ascii="Calibri" w:hAnsi="Calibri" w:cs="Calibri"/>
                <w:sz w:val="17"/>
                <w:szCs w:val="17"/>
              </w:rPr>
            </w:pPr>
            <w:r w:rsidRPr="006B4966">
              <w:rPr>
                <w:rFonts w:ascii="Calibri" w:hAnsi="Calibri" w:cs="Calibri"/>
                <w:color w:val="444444"/>
                <w:sz w:val="17"/>
                <w:szCs w:val="17"/>
              </w:rPr>
              <w:t>If a locality has been declared or clearly appears to be undefended, do the conditions for that declaration remain applicable?</w:t>
            </w:r>
          </w:p>
        </w:tc>
        <w:tc>
          <w:tcPr>
            <w:tcW w:w="267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EF7FB2" w14:textId="77777777" w:rsidR="00CF2859" w:rsidRPr="006B4966" w:rsidRDefault="00AE3F9E">
            <w:pPr>
              <w:spacing w:line="260" w:lineRule="auto"/>
              <w:rPr>
                <w:rFonts w:ascii="Calibri" w:hAnsi="Calibri" w:cs="Calibri"/>
                <w:sz w:val="17"/>
                <w:szCs w:val="17"/>
              </w:rPr>
            </w:pPr>
            <w:r w:rsidRPr="006B4966">
              <w:rPr>
                <w:rFonts w:ascii="Calibri" w:hAnsi="Calibri" w:cs="Calibri"/>
                <w:color w:val="444444"/>
                <w:sz w:val="17"/>
                <w:szCs w:val="17"/>
              </w:rPr>
              <w:t>Requires specific legal advisor review. Not amenable to automated determination.</w:t>
            </w:r>
          </w:p>
        </w:tc>
      </w:tr>
    </w:tbl>
    <w:p w14:paraId="28EF7FB4" w14:textId="77777777" w:rsidR="00CF2859" w:rsidRPr="00AE18A7" w:rsidRDefault="00CF2859">
      <w:pPr>
        <w:spacing w:before="40"/>
        <w:rPr>
          <w:rFonts w:ascii="Calibri" w:hAnsi="Calibri" w:cs="Calibri"/>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CF2859" w:rsidRPr="00AE18A7" w14:paraId="28EF7FB6" w14:textId="77777777">
        <w:tc>
          <w:tcPr>
            <w:tcW w:w="0" w:type="auto"/>
            <w:tcBorders>
              <w:top w:val="single" w:sz="1" w:space="0" w:color="CCCCCC"/>
              <w:left w:val="single" w:sz="1" w:space="0" w:color="CCCCCC"/>
              <w:bottom w:val="single" w:sz="1" w:space="0" w:color="CCCCCC"/>
              <w:right w:val="single" w:sz="1" w:space="0" w:color="CCCCCC"/>
            </w:tcBorders>
            <w:shd w:val="clear" w:color="auto" w:fill="F7F7F7"/>
            <w:tcMar>
              <w:top w:w="100" w:type="dxa"/>
              <w:left w:w="160" w:type="dxa"/>
              <w:bottom w:w="100" w:type="dxa"/>
              <w:right w:w="160" w:type="dxa"/>
            </w:tcMar>
          </w:tcPr>
          <w:p w14:paraId="28EF7FB5" w14:textId="77777777" w:rsidR="00CF2859" w:rsidRPr="00AE18A7" w:rsidRDefault="00AE3F9E">
            <w:pPr>
              <w:spacing w:line="276" w:lineRule="auto"/>
              <w:rPr>
                <w:rFonts w:ascii="Calibri" w:hAnsi="Calibri" w:cs="Calibri"/>
              </w:rPr>
            </w:pPr>
            <w:r w:rsidRPr="00AE18A7">
              <w:rPr>
                <w:rFonts w:ascii="Calibri" w:hAnsi="Calibri" w:cs="Calibri"/>
                <w:i/>
                <w:iCs/>
                <w:sz w:val="19"/>
                <w:szCs w:val="19"/>
              </w:rPr>
              <w:t>Appendix B provides illustrative criteria only. The criteria reflect well-established IHL principles but are not a substitute for the legal analysis required in specific operational contexts. The LCA ruleset actually implemented must be reviewed and approved by qualified IHL counsel who can assess its application to the specific weapons systems, operational environment, and mandate under which the framework is deployed.</w:t>
            </w:r>
          </w:p>
        </w:tc>
      </w:tr>
    </w:tbl>
    <w:p w14:paraId="28EF7FB7" w14:textId="77777777" w:rsidR="00CF2859" w:rsidRPr="00AE18A7" w:rsidRDefault="00CF2859">
      <w:pPr>
        <w:spacing w:before="80"/>
        <w:rPr>
          <w:rFonts w:ascii="Calibri" w:hAnsi="Calibri" w:cs="Calibri"/>
        </w:rPr>
      </w:pPr>
    </w:p>
    <w:sectPr w:rsidR="00CF2859" w:rsidRPr="00AE18A7">
      <w:headerReference w:type="default" r:id="rId12"/>
      <w:footerReference w:type="default" r:id="rId13"/>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B6507D" w14:textId="77777777" w:rsidR="00195EAE" w:rsidRDefault="00195EAE">
      <w:r>
        <w:separator/>
      </w:r>
    </w:p>
  </w:endnote>
  <w:endnote w:type="continuationSeparator" w:id="0">
    <w:p w14:paraId="4B43BE94" w14:textId="77777777" w:rsidR="00195EAE" w:rsidRDefault="00195E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F7FBB" w14:textId="7DD667FD" w:rsidR="00CF2859" w:rsidRDefault="00AE3F9E">
    <w:pPr>
      <w:pBdr>
        <w:top w:val="single" w:sz="2" w:space="0" w:color="BBBBBB"/>
      </w:pBdr>
      <w:tabs>
        <w:tab w:val="center" w:pos="4680"/>
      </w:tabs>
      <w:spacing w:before="60"/>
    </w:pPr>
    <w:r>
      <w:rPr>
        <w:sz w:val="16"/>
        <w:szCs w:val="16"/>
      </w:rPr>
      <w:tab/>
    </w:r>
    <w:r>
      <w:rPr>
        <w:color w:val="888888"/>
        <w:sz w:val="16"/>
        <w:szCs w:val="16"/>
      </w:rPr>
      <w:fldChar w:fldCharType="begin"/>
    </w:r>
    <w:r>
      <w:rPr>
        <w:color w:val="888888"/>
        <w:sz w:val="16"/>
        <w:szCs w:val="16"/>
      </w:rPr>
      <w:instrText>PAGE</w:instrText>
    </w:r>
    <w:r>
      <w:rPr>
        <w:color w:val="888888"/>
        <w:sz w:val="16"/>
        <w:szCs w:val="16"/>
      </w:rPr>
      <w:fldChar w:fldCharType="separate"/>
    </w:r>
    <w:r w:rsidR="00A57CE7">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A541F" w14:textId="77777777" w:rsidR="00195EAE" w:rsidRDefault="00195EAE">
      <w:r>
        <w:separator/>
      </w:r>
    </w:p>
  </w:footnote>
  <w:footnote w:type="continuationSeparator" w:id="0">
    <w:p w14:paraId="1FB3FDB6" w14:textId="77777777" w:rsidR="00195EAE" w:rsidRDefault="00195E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F7FBA" w14:textId="75861A8B" w:rsidR="00CF2859" w:rsidRDefault="00AE3F9E">
    <w:pPr>
      <w:pBdr>
        <w:bottom w:val="single" w:sz="2" w:space="0" w:color="BBBBBB"/>
      </w:pBdr>
      <w:tabs>
        <w:tab w:val="right" w:pos="9026"/>
      </w:tabs>
      <w:spacing w:after="60"/>
    </w:pPr>
    <w:r>
      <w:rPr>
        <w:i/>
        <w:iCs/>
        <w:color w:val="888888"/>
        <w:sz w:val="16"/>
        <w:szCs w:val="16"/>
      </w:rPr>
      <w:t>Goulden / EAAP-LGF: AI Governance for Lethal Decision Support</w:t>
    </w:r>
    <w:r>
      <w:rPr>
        <w:sz w:val="16"/>
        <w:szCs w:val="16"/>
      </w:rPr>
      <w:tab/>
    </w:r>
    <w:r>
      <w:rPr>
        <w:color w:val="888888"/>
        <w:sz w:val="16"/>
        <w:szCs w:val="16"/>
      </w:rPr>
      <w:t>preprint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557D4"/>
    <w:multiLevelType w:val="hybridMultilevel"/>
    <w:tmpl w:val="0C50D512"/>
    <w:lvl w:ilvl="0" w:tplc="C0BC9D58">
      <w:start w:val="1"/>
      <w:numFmt w:val="bullet"/>
      <w:lvlText w:val="●"/>
      <w:lvlJc w:val="left"/>
      <w:pPr>
        <w:ind w:left="720" w:hanging="360"/>
      </w:pPr>
    </w:lvl>
    <w:lvl w:ilvl="1" w:tplc="AA7CD32E">
      <w:start w:val="1"/>
      <w:numFmt w:val="bullet"/>
      <w:lvlText w:val="○"/>
      <w:lvlJc w:val="left"/>
      <w:pPr>
        <w:ind w:left="1440" w:hanging="360"/>
      </w:pPr>
    </w:lvl>
    <w:lvl w:ilvl="2" w:tplc="3C06083E">
      <w:start w:val="1"/>
      <w:numFmt w:val="bullet"/>
      <w:lvlText w:val="■"/>
      <w:lvlJc w:val="left"/>
      <w:pPr>
        <w:ind w:left="2160" w:hanging="360"/>
      </w:pPr>
    </w:lvl>
    <w:lvl w:ilvl="3" w:tplc="9A6A831E">
      <w:start w:val="1"/>
      <w:numFmt w:val="bullet"/>
      <w:lvlText w:val="●"/>
      <w:lvlJc w:val="left"/>
      <w:pPr>
        <w:ind w:left="2880" w:hanging="360"/>
      </w:pPr>
    </w:lvl>
    <w:lvl w:ilvl="4" w:tplc="B626825A">
      <w:start w:val="1"/>
      <w:numFmt w:val="bullet"/>
      <w:lvlText w:val="○"/>
      <w:lvlJc w:val="left"/>
      <w:pPr>
        <w:ind w:left="3600" w:hanging="360"/>
      </w:pPr>
    </w:lvl>
    <w:lvl w:ilvl="5" w:tplc="23A6FD50">
      <w:start w:val="1"/>
      <w:numFmt w:val="bullet"/>
      <w:lvlText w:val="■"/>
      <w:lvlJc w:val="left"/>
      <w:pPr>
        <w:ind w:left="4320" w:hanging="360"/>
      </w:pPr>
    </w:lvl>
    <w:lvl w:ilvl="6" w:tplc="6E66DB8A">
      <w:start w:val="1"/>
      <w:numFmt w:val="bullet"/>
      <w:lvlText w:val="●"/>
      <w:lvlJc w:val="left"/>
      <w:pPr>
        <w:ind w:left="5040" w:hanging="360"/>
      </w:pPr>
    </w:lvl>
    <w:lvl w:ilvl="7" w:tplc="BEAAEF30">
      <w:start w:val="1"/>
      <w:numFmt w:val="bullet"/>
      <w:lvlText w:val="●"/>
      <w:lvlJc w:val="left"/>
      <w:pPr>
        <w:ind w:left="5760" w:hanging="360"/>
      </w:pPr>
    </w:lvl>
    <w:lvl w:ilvl="8" w:tplc="AAD8B524">
      <w:start w:val="1"/>
      <w:numFmt w:val="bullet"/>
      <w:lvlText w:val="●"/>
      <w:lvlJc w:val="left"/>
      <w:pPr>
        <w:ind w:left="6480" w:hanging="360"/>
      </w:pPr>
    </w:lvl>
  </w:abstractNum>
  <w:abstractNum w:abstractNumId="1" w15:restartNumberingAfterBreak="0">
    <w:nsid w:val="49B274EA"/>
    <w:multiLevelType w:val="hybridMultilevel"/>
    <w:tmpl w:val="16CA8AC6"/>
    <w:lvl w:ilvl="0" w:tplc="759C857C">
      <w:start w:val="1"/>
      <w:numFmt w:val="bullet"/>
      <w:lvlText w:val="•"/>
      <w:lvlJc w:val="left"/>
      <w:pPr>
        <w:ind w:left="480" w:hanging="240"/>
      </w:pPr>
      <w:rPr>
        <w:rFonts w:ascii="Symbol" w:eastAsia="Symbol" w:hAnsi="Symbol" w:cs="Symbol"/>
      </w:rPr>
    </w:lvl>
    <w:lvl w:ilvl="1" w:tplc="7C08C5D6">
      <w:numFmt w:val="decimal"/>
      <w:lvlText w:val=""/>
      <w:lvlJc w:val="left"/>
    </w:lvl>
    <w:lvl w:ilvl="2" w:tplc="27CAB502">
      <w:numFmt w:val="decimal"/>
      <w:lvlText w:val=""/>
      <w:lvlJc w:val="left"/>
    </w:lvl>
    <w:lvl w:ilvl="3" w:tplc="A210CBA6">
      <w:numFmt w:val="decimal"/>
      <w:lvlText w:val=""/>
      <w:lvlJc w:val="left"/>
    </w:lvl>
    <w:lvl w:ilvl="4" w:tplc="506EFD56">
      <w:numFmt w:val="decimal"/>
      <w:lvlText w:val=""/>
      <w:lvlJc w:val="left"/>
    </w:lvl>
    <w:lvl w:ilvl="5" w:tplc="8164792A">
      <w:numFmt w:val="decimal"/>
      <w:lvlText w:val=""/>
      <w:lvlJc w:val="left"/>
    </w:lvl>
    <w:lvl w:ilvl="6" w:tplc="E7646644">
      <w:numFmt w:val="decimal"/>
      <w:lvlText w:val=""/>
      <w:lvlJc w:val="left"/>
    </w:lvl>
    <w:lvl w:ilvl="7" w:tplc="E022FABA">
      <w:numFmt w:val="decimal"/>
      <w:lvlText w:val=""/>
      <w:lvlJc w:val="left"/>
    </w:lvl>
    <w:lvl w:ilvl="8" w:tplc="7B388502">
      <w:numFmt w:val="decimal"/>
      <w:lvlText w:val=""/>
      <w:lvlJc w:val="left"/>
    </w:lvl>
  </w:abstractNum>
  <w:abstractNum w:abstractNumId="2" w15:restartNumberingAfterBreak="0">
    <w:nsid w:val="52B51E41"/>
    <w:multiLevelType w:val="hybridMultilevel"/>
    <w:tmpl w:val="9AD69704"/>
    <w:lvl w:ilvl="0" w:tplc="DEEA40B6">
      <w:start w:val="1"/>
      <w:numFmt w:val="decimal"/>
      <w:lvlText w:val="%1."/>
      <w:lvlJc w:val="left"/>
      <w:pPr>
        <w:ind w:left="480" w:hanging="240"/>
      </w:pPr>
    </w:lvl>
    <w:lvl w:ilvl="1" w:tplc="117E66F4">
      <w:numFmt w:val="decimal"/>
      <w:lvlText w:val=""/>
      <w:lvlJc w:val="left"/>
    </w:lvl>
    <w:lvl w:ilvl="2" w:tplc="29B0CA76">
      <w:numFmt w:val="decimal"/>
      <w:lvlText w:val=""/>
      <w:lvlJc w:val="left"/>
    </w:lvl>
    <w:lvl w:ilvl="3" w:tplc="ACEE943C">
      <w:numFmt w:val="decimal"/>
      <w:lvlText w:val=""/>
      <w:lvlJc w:val="left"/>
    </w:lvl>
    <w:lvl w:ilvl="4" w:tplc="62F6CB22">
      <w:numFmt w:val="decimal"/>
      <w:lvlText w:val=""/>
      <w:lvlJc w:val="left"/>
    </w:lvl>
    <w:lvl w:ilvl="5" w:tplc="8C763612">
      <w:numFmt w:val="decimal"/>
      <w:lvlText w:val=""/>
      <w:lvlJc w:val="left"/>
    </w:lvl>
    <w:lvl w:ilvl="6" w:tplc="D1425CA6">
      <w:numFmt w:val="decimal"/>
      <w:lvlText w:val=""/>
      <w:lvlJc w:val="left"/>
    </w:lvl>
    <w:lvl w:ilvl="7" w:tplc="CBCA87FE">
      <w:numFmt w:val="decimal"/>
      <w:lvlText w:val=""/>
      <w:lvlJc w:val="left"/>
    </w:lvl>
    <w:lvl w:ilvl="8" w:tplc="7F0A079C">
      <w:numFmt w:val="decimal"/>
      <w:lvlText w:val=""/>
      <w:lvlJc w:val="left"/>
    </w:lvl>
  </w:abstractNum>
  <w:num w:numId="1" w16cid:durableId="270245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2859"/>
    <w:rsid w:val="00072E13"/>
    <w:rsid w:val="000D7BE9"/>
    <w:rsid w:val="000F50BA"/>
    <w:rsid w:val="00123147"/>
    <w:rsid w:val="00195EAE"/>
    <w:rsid w:val="001E1246"/>
    <w:rsid w:val="001E4C60"/>
    <w:rsid w:val="00272ED6"/>
    <w:rsid w:val="00281A67"/>
    <w:rsid w:val="005B0A62"/>
    <w:rsid w:val="00610FF7"/>
    <w:rsid w:val="006B4966"/>
    <w:rsid w:val="0071202F"/>
    <w:rsid w:val="007C2B03"/>
    <w:rsid w:val="008C67C1"/>
    <w:rsid w:val="00926153"/>
    <w:rsid w:val="009F0068"/>
    <w:rsid w:val="00A228D2"/>
    <w:rsid w:val="00A57CE7"/>
    <w:rsid w:val="00AE18A7"/>
    <w:rsid w:val="00AE3F9E"/>
    <w:rsid w:val="00B00B1A"/>
    <w:rsid w:val="00B334B4"/>
    <w:rsid w:val="00B45CCC"/>
    <w:rsid w:val="00BD0737"/>
    <w:rsid w:val="00CF2859"/>
    <w:rsid w:val="00D06CB6"/>
    <w:rsid w:val="00D47B20"/>
    <w:rsid w:val="00DC2281"/>
    <w:rsid w:val="00E311B2"/>
    <w:rsid w:val="00EB5C87"/>
    <w:rsid w:val="00F454C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F7C72"/>
  <w15:docId w15:val="{9D052D82-2F27-437E-AEB8-01FEF2271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A1A1A"/>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57CE7"/>
    <w:pPr>
      <w:tabs>
        <w:tab w:val="center" w:pos="4513"/>
        <w:tab w:val="right" w:pos="9026"/>
      </w:tabs>
    </w:pPr>
  </w:style>
  <w:style w:type="character" w:customStyle="1" w:styleId="HeaderChar">
    <w:name w:val="Header Char"/>
    <w:basedOn w:val="DefaultParagraphFont"/>
    <w:link w:val="Header"/>
    <w:uiPriority w:val="99"/>
    <w:rsid w:val="00A57CE7"/>
  </w:style>
  <w:style w:type="paragraph" w:styleId="Footer">
    <w:name w:val="footer"/>
    <w:basedOn w:val="Normal"/>
    <w:link w:val="FooterChar"/>
    <w:uiPriority w:val="99"/>
    <w:unhideWhenUsed/>
    <w:rsid w:val="00A57CE7"/>
    <w:pPr>
      <w:tabs>
        <w:tab w:val="center" w:pos="4513"/>
        <w:tab w:val="right" w:pos="9026"/>
      </w:tabs>
    </w:pPr>
  </w:style>
  <w:style w:type="character" w:customStyle="1" w:styleId="FooterChar">
    <w:name w:val="Footer Char"/>
    <w:basedOn w:val="DefaultParagraphFont"/>
    <w:link w:val="Footer"/>
    <w:uiPriority w:val="99"/>
    <w:rsid w:val="00A57CE7"/>
  </w:style>
  <w:style w:type="character" w:styleId="UnresolvedMention">
    <w:name w:val="Unresolved Mention"/>
    <w:basedOn w:val="DefaultParagraphFont"/>
    <w:uiPriority w:val="99"/>
    <w:semiHidden/>
    <w:unhideWhenUsed/>
    <w:rsid w:val="00D06CB6"/>
    <w:rPr>
      <w:color w:val="605E5C"/>
      <w:shd w:val="clear" w:color="auto" w:fill="E1DFDD"/>
    </w:rPr>
  </w:style>
  <w:style w:type="paragraph" w:styleId="TOCHeading">
    <w:name w:val="TOC Heading"/>
    <w:basedOn w:val="Heading1"/>
    <w:next w:val="Normal"/>
    <w:uiPriority w:val="39"/>
    <w:unhideWhenUsed/>
    <w:qFormat/>
    <w:rsid w:val="00BD0737"/>
    <w:pPr>
      <w:keepNext/>
      <w:keepLines/>
      <w:spacing w:before="240" w:line="259" w:lineRule="auto"/>
      <w:outlineLvl w:val="9"/>
    </w:pPr>
    <w:rPr>
      <w:rFonts w:asciiTheme="majorHAnsi" w:eastAsiaTheme="majorEastAsia" w:hAnsiTheme="majorHAnsi" w:cstheme="majorBidi"/>
      <w:color w:val="0F4761" w:themeColor="accent1" w:themeShade="BF"/>
      <w:lang w:val="en-US" w:eastAsia="en-US"/>
    </w:rPr>
  </w:style>
  <w:style w:type="paragraph" w:customStyle="1" w:styleId="Heading10">
    <w:name w:val="Heading_1"/>
    <w:basedOn w:val="Heading1"/>
    <w:link w:val="Heading1Char0"/>
    <w:autoRedefine/>
    <w:qFormat/>
    <w:rsid w:val="005B0A62"/>
    <w:pPr>
      <w:spacing w:before="240" w:after="80"/>
    </w:pPr>
    <w:rPr>
      <w:rFonts w:ascii="Calibri" w:hAnsi="Calibri" w:cs="Calibri"/>
      <w:b/>
      <w:bCs/>
      <w:color w:val="000000" w:themeColor="text1"/>
      <w:sz w:val="28"/>
      <w:szCs w:val="28"/>
    </w:rPr>
  </w:style>
  <w:style w:type="character" w:customStyle="1" w:styleId="Heading1Char">
    <w:name w:val="Heading 1 Char"/>
    <w:basedOn w:val="DefaultParagraphFont"/>
    <w:link w:val="Heading1"/>
    <w:uiPriority w:val="9"/>
    <w:rsid w:val="005B0A62"/>
    <w:rPr>
      <w:color w:val="2E74B5"/>
      <w:sz w:val="32"/>
      <w:szCs w:val="32"/>
    </w:rPr>
  </w:style>
  <w:style w:type="character" w:customStyle="1" w:styleId="Heading1Char0">
    <w:name w:val="Heading_1 Char"/>
    <w:basedOn w:val="Heading1Char"/>
    <w:link w:val="Heading10"/>
    <w:rsid w:val="005B0A62"/>
    <w:rPr>
      <w:rFonts w:ascii="Calibri" w:hAnsi="Calibri" w:cs="Calibri"/>
      <w:b/>
      <w:bCs/>
      <w:color w:val="000000" w:themeColor="text1"/>
      <w:sz w:val="28"/>
      <w:szCs w:val="28"/>
    </w:rPr>
  </w:style>
  <w:style w:type="paragraph" w:customStyle="1" w:styleId="Heading20">
    <w:name w:val="Heading_2"/>
    <w:basedOn w:val="Heading2"/>
    <w:link w:val="Heading2Char0"/>
    <w:autoRedefine/>
    <w:qFormat/>
    <w:rsid w:val="005B0A62"/>
    <w:pPr>
      <w:spacing w:before="180" w:after="60"/>
    </w:pPr>
    <w:rPr>
      <w:rFonts w:ascii="Calibri" w:hAnsi="Calibri" w:cs="Calibri"/>
      <w:b/>
      <w:bCs/>
      <w:i/>
      <w:iCs/>
      <w:color w:val="000000" w:themeColor="text1"/>
      <w:sz w:val="24"/>
    </w:rPr>
  </w:style>
  <w:style w:type="character" w:customStyle="1" w:styleId="Heading2Char">
    <w:name w:val="Heading 2 Char"/>
    <w:basedOn w:val="DefaultParagraphFont"/>
    <w:link w:val="Heading2"/>
    <w:uiPriority w:val="9"/>
    <w:semiHidden/>
    <w:rsid w:val="005B0A62"/>
    <w:rPr>
      <w:color w:val="2E74B5"/>
      <w:sz w:val="26"/>
      <w:szCs w:val="26"/>
    </w:rPr>
  </w:style>
  <w:style w:type="character" w:customStyle="1" w:styleId="Heading2Char0">
    <w:name w:val="Heading_2 Char"/>
    <w:basedOn w:val="Heading2Char"/>
    <w:link w:val="Heading20"/>
    <w:rsid w:val="005B0A62"/>
    <w:rPr>
      <w:rFonts w:ascii="Calibri" w:hAnsi="Calibri" w:cs="Calibri"/>
      <w:b/>
      <w:bCs/>
      <w:i/>
      <w:iCs/>
      <w:color w:val="000000" w:themeColor="text1"/>
      <w:sz w:val="24"/>
      <w:szCs w:val="26"/>
    </w:rPr>
  </w:style>
  <w:style w:type="paragraph" w:styleId="TOC1">
    <w:name w:val="toc 1"/>
    <w:basedOn w:val="Normal"/>
    <w:next w:val="Normal"/>
    <w:autoRedefine/>
    <w:uiPriority w:val="39"/>
    <w:unhideWhenUsed/>
    <w:rsid w:val="00F454C8"/>
    <w:pPr>
      <w:spacing w:after="100"/>
    </w:pPr>
  </w:style>
  <w:style w:type="paragraph" w:styleId="TOC2">
    <w:name w:val="toc 2"/>
    <w:basedOn w:val="Normal"/>
    <w:next w:val="Normal"/>
    <w:autoRedefine/>
    <w:uiPriority w:val="39"/>
    <w:unhideWhenUsed/>
    <w:rsid w:val="00F454C8"/>
    <w:pPr>
      <w:spacing w:after="100"/>
      <w:ind w:left="200"/>
    </w:pPr>
  </w:style>
  <w:style w:type="character" w:styleId="FollowedHyperlink">
    <w:name w:val="FollowedHyperlink"/>
    <w:basedOn w:val="DefaultParagraphFont"/>
    <w:uiPriority w:val="99"/>
    <w:semiHidden/>
    <w:unhideWhenUsed/>
    <w:rsid w:val="000F50B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research@johngoulden.de"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5281/zenodo.20085547"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research@johngoulden.de" TargetMode="External"/><Relationship Id="rId4" Type="http://schemas.openxmlformats.org/officeDocument/2006/relationships/settings" Target="settings.xml"/><Relationship Id="rId9" Type="http://schemas.openxmlformats.org/officeDocument/2006/relationships/hyperlink" Target="https://doi.org/10.5281/zenodo.20085547"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6BAA55-5D5A-4093-B0BA-862E15CEAF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19</Pages>
  <Words>8732</Words>
  <Characters>49777</Characters>
  <Application>Microsoft Office Word</Application>
  <DocSecurity>0</DocSecurity>
  <Lines>414</Lines>
  <Paragraphs>116</Paragraphs>
  <ScaleCrop>false</ScaleCrop>
  <Company/>
  <LinksUpToDate>false</LinksUpToDate>
  <CharactersWithSpaces>58393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Goulden</cp:lastModifiedBy>
  <cp:revision>21</cp:revision>
  <dcterms:created xsi:type="dcterms:W3CDTF">2026-05-15T09:14:00Z</dcterms:created>
  <dcterms:modified xsi:type="dcterms:W3CDTF">2026-05-15T11:05:00Z</dcterms:modified>
</cp:coreProperties>
</file>