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u8k0jggd4jia" w:id="0"/>
      <w:bookmarkEnd w:id="0"/>
      <w:r w:rsidDel="00000000" w:rsidR="00000000" w:rsidRPr="00000000">
        <w:rPr>
          <w:rtl w:val="0"/>
        </w:rPr>
        <w:t xml:space="preserve">Hazardous Materials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fluid is flammable and powers most combustion engines. What is it?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A. Antifreeze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B. Engine oil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C. Diesel exhaust fluid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D. Gasoline (Petrol)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 D. Gasoline (Petrol)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battery component is considered hazardous due to its acidic content and lead plates?</w: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A. Nickel-metal hydride battery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B. Lithium-ion battery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C. Lead-acid battery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D. Alkaline battery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 C. Lead-acid battery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fluid is toxic and used for engine cooling. It must be handled with care. Name it.</w:t>
      </w: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A. Windshield washer fluid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B. Antifreeze (Coolant)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C. Transmission fluid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D. Brake fluid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 B. Antifreeze (Coolant)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type of oil, once used and dirty, is considered hazardous waste. What is it?</w: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A. Synthetic oil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B. Crude oil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C. Transmission oil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D. Used motor oil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 D. Used motor oil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