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i w:val="0"/>
          <w:color w:val="0B2240"/>
          <w:sz w:val="60"/>
        </w:rPr>
        <w:t>CyberSentinel</w:t>
      </w:r>
    </w:p>
    <w:p>
      <w:pPr>
        <w:spacing w:after="440"/>
        <w:jc w:val="center"/>
      </w:pPr>
      <w:r>
        <w:rPr>
          <w:b/>
          <w:i w:val="0"/>
          <w:color w:val="0B6FA4"/>
          <w:sz w:val="40"/>
        </w:rPr>
        <w:t>User and Entity Behaviour Analytics</w:t>
      </w:r>
    </w:p>
    <w:p>
      <w:pPr>
        <w:spacing w:after="80"/>
        <w:jc w:val="center"/>
      </w:pPr>
      <w:r>
        <w:rPr>
          <w:b w:val="0"/>
          <w:i w:val="0"/>
          <w:color w:val="1A1A1A"/>
          <w:sz w:val="28"/>
        </w:rPr>
        <w:t>Technical &amp; Architecture Document</w:t>
      </w:r>
    </w:p>
    <w:p>
      <w:pPr>
        <w:spacing w:after="800"/>
        <w:jc w:val="center"/>
      </w:pPr>
      <w:r>
        <w:rPr>
          <w:b w:val="0"/>
          <w:i/>
          <w:color w:val="5B6B7A"/>
          <w:sz w:val="21"/>
        </w:rPr>
        <w:t>System design, detection methodology, technology stack and operations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880"/>
            <w:shd w:val="clear" w:fill="0B6FA4"/>
          </w:tcPr>
          <w:p>
            <w:pPr>
              <w:spacing w:after="40"/>
            </w:pPr>
            <w:r/>
            <w:r>
              <w:rPr>
                <w:b/>
                <w:color w:val="FFFFFF"/>
                <w:sz w:val="19"/>
              </w:rPr>
              <w:t>Field</w:t>
            </w:r>
          </w:p>
        </w:tc>
        <w:tc>
          <w:tcPr>
            <w:tcW w:type="dxa" w:w="6624"/>
            <w:shd w:val="clear" w:fill="0B6FA4"/>
          </w:tcPr>
          <w:p>
            <w:pPr>
              <w:spacing w:after="40"/>
            </w:pPr>
            <w:r/>
            <w:r>
              <w:rPr>
                <w:b/>
                <w:color w:val="FFFFFF"/>
                <w:sz w:val="19"/>
              </w:rPr>
              <w:t>Value</w:t>
            </w:r>
          </w:p>
        </w:tc>
      </w:tr>
      <w:tr>
        <w:tc>
          <w:tcPr>
            <w:tcW w:type="dxa" w:w="2880"/>
          </w:tcPr>
          <w:p>
            <w:pPr>
              <w:spacing w:after="40"/>
            </w:pPr>
            <w:r/>
            <w:r>
              <w:rPr>
                <w:sz w:val="19"/>
              </w:rPr>
              <w:t>Document version</w:t>
            </w:r>
          </w:p>
        </w:tc>
        <w:tc>
          <w:tcPr>
            <w:tcW w:type="dxa" w:w="6624"/>
          </w:tcPr>
          <w:p>
            <w:pPr>
              <w:spacing w:after="40"/>
            </w:pPr>
            <w:r/>
            <w:r>
              <w:rPr>
                <w:sz w:val="19"/>
              </w:rPr>
              <w:t>1.0</w:t>
            </w:r>
          </w:p>
        </w:tc>
      </w:tr>
      <w:tr>
        <w:tc>
          <w:tcPr>
            <w:tcW w:type="dxa" w:w="2880"/>
            <w:shd w:val="clear" w:fill="F2F6F9"/>
          </w:tcPr>
          <w:p>
            <w:pPr>
              <w:spacing w:after="40"/>
            </w:pPr>
            <w:r/>
            <w:r>
              <w:rPr>
                <w:sz w:val="19"/>
              </w:rPr>
              <w:t>Date</w:t>
            </w:r>
          </w:p>
        </w:tc>
        <w:tc>
          <w:tcPr>
            <w:tcW w:type="dxa" w:w="6624"/>
            <w:shd w:val="clear" w:fill="F2F6F9"/>
          </w:tcPr>
          <w:p>
            <w:pPr>
              <w:spacing w:after="40"/>
            </w:pPr>
            <w:r/>
            <w:r>
              <w:rPr>
                <w:sz w:val="19"/>
              </w:rPr>
              <w:t>23 September 2026</w:t>
            </w:r>
          </w:p>
        </w:tc>
      </w:tr>
      <w:tr>
        <w:tc>
          <w:tcPr>
            <w:tcW w:type="dxa" w:w="2880"/>
          </w:tcPr>
          <w:p>
            <w:pPr>
              <w:spacing w:after="40"/>
            </w:pPr>
            <w:r/>
            <w:r>
              <w:rPr>
                <w:sz w:val="19"/>
              </w:rPr>
              <w:t>Classification</w:t>
            </w:r>
          </w:p>
        </w:tc>
        <w:tc>
          <w:tcPr>
            <w:tcW w:type="dxa" w:w="6624"/>
          </w:tcPr>
          <w:p>
            <w:pPr>
              <w:spacing w:after="40"/>
            </w:pPr>
            <w:r/>
            <w:r>
              <w:rPr>
                <w:sz w:val="19"/>
              </w:rPr>
              <w:t>Confidential — for the named recipient</w:t>
            </w:r>
          </w:p>
        </w:tc>
      </w:tr>
      <w:tr>
        <w:tc>
          <w:tcPr>
            <w:tcW w:type="dxa" w:w="2880"/>
            <w:shd w:val="clear" w:fill="F2F6F9"/>
          </w:tcPr>
          <w:p>
            <w:pPr>
              <w:spacing w:after="40"/>
            </w:pPr>
            <w:r/>
            <w:r>
              <w:rPr>
                <w:sz w:val="19"/>
              </w:rPr>
              <w:t>Product</w:t>
            </w:r>
          </w:p>
        </w:tc>
        <w:tc>
          <w:tcPr>
            <w:tcW w:type="dxa" w:w="6624"/>
            <w:shd w:val="clear" w:fill="F2F6F9"/>
          </w:tcPr>
          <w:p>
            <w:pPr>
              <w:spacing w:after="40"/>
            </w:pPr>
            <w:r/>
            <w:r>
              <w:rPr>
                <w:sz w:val="19"/>
              </w:rPr>
              <w:t>CyberSentinel UEBA</w:t>
            </w:r>
          </w:p>
        </w:tc>
      </w:tr>
      <w:tr>
        <w:tc>
          <w:tcPr>
            <w:tcW w:type="dxa" w:w="2880"/>
          </w:tcPr>
          <w:p>
            <w:pPr>
              <w:spacing w:after="40"/>
            </w:pPr>
            <w:r/>
            <w:r>
              <w:rPr>
                <w:sz w:val="19"/>
              </w:rPr>
              <w:t>Document type</w:t>
            </w:r>
          </w:p>
        </w:tc>
        <w:tc>
          <w:tcPr>
            <w:tcW w:type="dxa" w:w="6624"/>
          </w:tcPr>
          <w:p>
            <w:pPr>
              <w:spacing w:after="40"/>
            </w:pPr>
            <w:r/>
            <w:r>
              <w:rPr>
                <w:sz w:val="19"/>
              </w:rPr>
              <w:t>Technical and architecture reference</w:t>
            </w:r>
          </w:p>
        </w:tc>
      </w:tr>
      <w:tr>
        <w:tc>
          <w:tcPr>
            <w:tcW w:type="dxa" w:w="2880"/>
            <w:shd w:val="clear" w:fill="F2F6F9"/>
          </w:tcPr>
          <w:p>
            <w:pPr>
              <w:spacing w:after="40"/>
            </w:pPr>
            <w:r/>
            <w:r>
              <w:rPr>
                <w:sz w:val="19"/>
              </w:rPr>
              <w:t>Basis</w:t>
            </w:r>
          </w:p>
        </w:tc>
        <w:tc>
          <w:tcPr>
            <w:tcW w:type="dxa" w:w="6624"/>
            <w:shd w:val="clear" w:fill="F2F6F9"/>
          </w:tcPr>
          <w:p>
            <w:pPr>
              <w:spacing w:after="40"/>
            </w:pPr>
            <w:r/>
            <w:r>
              <w:rPr>
                <w:sz w:val="19"/>
              </w:rPr>
              <w:t>Measured against the running deployment; no estimated figures</w:t>
            </w:r>
          </w:p>
        </w:tc>
      </w:tr>
    </w:tbl>
    <w:p>
      <w:pPr>
        <w:spacing w:after="80"/>
      </w:pP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600"/>
            <w:shd w:val="clear" w:fill="0B6FA4"/>
          </w:tcPr>
          <w:p>
            <w:pPr>
              <w:spacing w:after="40"/>
            </w:pPr>
            <w:r/>
            <w:r>
              <w:rPr>
                <w:b/>
                <w:color w:val="FFFFFF"/>
                <w:sz w:val="19"/>
              </w:rPr>
              <w:t>Section</w:t>
            </w:r>
          </w:p>
        </w:tc>
        <w:tc>
          <w:tcPr>
            <w:tcW w:type="dxa" w:w="5904"/>
            <w:shd w:val="clear" w:fill="0B6FA4"/>
          </w:tcPr>
          <w:p>
            <w:pPr>
              <w:spacing w:after="40"/>
            </w:pPr>
            <w:r/>
            <w:r>
              <w:rPr>
                <w:b/>
                <w:color w:val="FFFFFF"/>
                <w:sz w:val="19"/>
              </w:rPr>
              <w:t>Subject</w:t>
            </w:r>
          </w:p>
        </w:tc>
      </w:tr>
      <w:tr>
        <w:tc>
          <w:tcPr>
            <w:tcW w:type="dxa" w:w="3600"/>
          </w:tcPr>
          <w:p>
            <w:pPr>
              <w:spacing w:after="40"/>
            </w:pPr>
            <w:r/>
            <w:r>
              <w:rPr>
                <w:sz w:val="19"/>
              </w:rPr>
              <w:t>1.  Executive Summary</w:t>
            </w:r>
          </w:p>
        </w:tc>
        <w:tc>
          <w:tcPr>
            <w:tcW w:type="dxa" w:w="5904"/>
          </w:tcPr>
          <w:p>
            <w:pPr>
              <w:spacing w:after="40"/>
            </w:pPr>
            <w:r/>
            <w:r>
              <w:rPr>
                <w:sz w:val="19"/>
              </w:rPr>
              <w:t>What the platform is and the principle it rests on</w:t>
            </w:r>
          </w:p>
        </w:tc>
      </w:tr>
      <w:tr>
        <w:tc>
          <w:tcPr>
            <w:tcW w:type="dxa" w:w="3600"/>
            <w:shd w:val="clear" w:fill="F2F6F9"/>
          </w:tcPr>
          <w:p>
            <w:pPr>
              <w:spacing w:after="40"/>
            </w:pPr>
            <w:r/>
            <w:r>
              <w:rPr>
                <w:sz w:val="19"/>
              </w:rPr>
              <w:t>2.  System Overview</w:t>
            </w:r>
          </w:p>
        </w:tc>
        <w:tc>
          <w:tcPr>
            <w:tcW w:type="dxa" w:w="5904"/>
            <w:shd w:val="clear" w:fill="F2F6F9"/>
          </w:tcPr>
          <w:p>
            <w:pPr>
              <w:spacing w:after="40"/>
            </w:pPr>
            <w:r/>
            <w:r>
              <w:rPr>
                <w:sz w:val="19"/>
              </w:rPr>
              <w:t>Processing chain and runtime services</w:t>
            </w:r>
          </w:p>
        </w:tc>
      </w:tr>
      <w:tr>
        <w:tc>
          <w:tcPr>
            <w:tcW w:type="dxa" w:w="3600"/>
          </w:tcPr>
          <w:p>
            <w:pPr>
              <w:spacing w:after="40"/>
            </w:pPr>
            <w:r/>
            <w:r>
              <w:rPr>
                <w:sz w:val="19"/>
              </w:rPr>
              <w:t>3.  Detection Methodology</w:t>
            </w:r>
          </w:p>
        </w:tc>
        <w:tc>
          <w:tcPr>
            <w:tcW w:type="dxa" w:w="5904"/>
          </w:tcPr>
          <w:p>
            <w:pPr>
              <w:spacing w:after="40"/>
            </w:pPr>
            <w:r/>
            <w:r>
              <w:rPr>
                <w:sz w:val="19"/>
              </w:rPr>
              <w:t>The four analytical layers and score fusion</w:t>
            </w:r>
          </w:p>
        </w:tc>
      </w:tr>
      <w:tr>
        <w:tc>
          <w:tcPr>
            <w:tcW w:type="dxa" w:w="3600"/>
            <w:shd w:val="clear" w:fill="F2F6F9"/>
          </w:tcPr>
          <w:p>
            <w:pPr>
              <w:spacing w:after="40"/>
            </w:pPr>
            <w:r/>
            <w:r>
              <w:rPr>
                <w:sz w:val="19"/>
              </w:rPr>
              <w:t>4.  Feature Engineering</w:t>
            </w:r>
          </w:p>
        </w:tc>
        <w:tc>
          <w:tcPr>
            <w:tcW w:type="dxa" w:w="5904"/>
            <w:shd w:val="clear" w:fill="F2F6F9"/>
          </w:tcPr>
          <w:p>
            <w:pPr>
              <w:spacing w:after="40"/>
            </w:pPr>
            <w:r/>
            <w:r>
              <w:rPr>
                <w:sz w:val="19"/>
              </w:rPr>
              <w:t>Feature vector, entity resolution, noise suppression</w:t>
            </w:r>
          </w:p>
        </w:tc>
      </w:tr>
      <w:tr>
        <w:tc>
          <w:tcPr>
            <w:tcW w:type="dxa" w:w="3600"/>
          </w:tcPr>
          <w:p>
            <w:pPr>
              <w:spacing w:after="40"/>
            </w:pPr>
            <w:r/>
            <w:r>
              <w:rPr>
                <w:sz w:val="19"/>
              </w:rPr>
              <w:t>5.  Analyst Capabilities</w:t>
            </w:r>
          </w:p>
        </w:tc>
        <w:tc>
          <w:tcPr>
            <w:tcW w:type="dxa" w:w="5904"/>
          </w:tcPr>
          <w:p>
            <w:pPr>
              <w:spacing w:after="40"/>
            </w:pPr>
            <w:r/>
            <w:r>
              <w:rPr>
                <w:sz w:val="19"/>
              </w:rPr>
              <w:t>Console, suppression, watch lists, reporting</w:t>
            </w:r>
          </w:p>
        </w:tc>
      </w:tr>
      <w:tr>
        <w:tc>
          <w:tcPr>
            <w:tcW w:type="dxa" w:w="3600"/>
            <w:shd w:val="clear" w:fill="F2F6F9"/>
          </w:tcPr>
          <w:p>
            <w:pPr>
              <w:spacing w:after="40"/>
            </w:pPr>
            <w:r/>
            <w:r>
              <w:rPr>
                <w:sz w:val="19"/>
              </w:rPr>
              <w:t>6.  Model Lifecycle</w:t>
            </w:r>
          </w:p>
        </w:tc>
        <w:tc>
          <w:tcPr>
            <w:tcW w:type="dxa" w:w="5904"/>
            <w:shd w:val="clear" w:fill="F2F6F9"/>
          </w:tcPr>
          <w:p>
            <w:pPr>
              <w:spacing w:after="40"/>
            </w:pPr>
            <w:r/>
            <w:r>
              <w:rPr>
                <w:sz w:val="19"/>
              </w:rPr>
              <w:t>Why models are not pre-shipped; retraining cycle</w:t>
            </w:r>
          </w:p>
        </w:tc>
      </w:tr>
      <w:tr>
        <w:tc>
          <w:tcPr>
            <w:tcW w:type="dxa" w:w="3600"/>
          </w:tcPr>
          <w:p>
            <w:pPr>
              <w:spacing w:after="40"/>
            </w:pPr>
            <w:r/>
            <w:r>
              <w:rPr>
                <w:sz w:val="19"/>
              </w:rPr>
              <w:t>7.  Security and Governance</w:t>
            </w:r>
          </w:p>
        </w:tc>
        <w:tc>
          <w:tcPr>
            <w:tcW w:type="dxa" w:w="5904"/>
          </w:tcPr>
          <w:p>
            <w:pPr>
              <w:spacing w:after="40"/>
            </w:pPr>
            <w:r/>
            <w:r>
              <w:rPr>
                <w:sz w:val="19"/>
              </w:rPr>
              <w:t>Authentication, audit trail, data sovereignty</w:t>
            </w:r>
          </w:p>
        </w:tc>
      </w:tr>
      <w:tr>
        <w:tc>
          <w:tcPr>
            <w:tcW w:type="dxa" w:w="3600"/>
            <w:shd w:val="clear" w:fill="F2F6F9"/>
          </w:tcPr>
          <w:p>
            <w:pPr>
              <w:spacing w:after="40"/>
            </w:pPr>
            <w:r/>
            <w:r>
              <w:rPr>
                <w:sz w:val="19"/>
              </w:rPr>
              <w:t>8.  Technology Stack</w:t>
            </w:r>
          </w:p>
        </w:tc>
        <w:tc>
          <w:tcPr>
            <w:tcW w:type="dxa" w:w="5904"/>
            <w:shd w:val="clear" w:fill="F2F6F9"/>
          </w:tcPr>
          <w:p>
            <w:pPr>
              <w:spacing w:after="40"/>
            </w:pPr>
            <w:r/>
            <w:r>
              <w:rPr>
                <w:sz w:val="19"/>
              </w:rPr>
              <w:t>Platform, machine learning, application and console</w:t>
            </w:r>
          </w:p>
        </w:tc>
      </w:tr>
      <w:tr>
        <w:tc>
          <w:tcPr>
            <w:tcW w:type="dxa" w:w="3600"/>
          </w:tcPr>
          <w:p>
            <w:pPr>
              <w:spacing w:after="40"/>
            </w:pPr>
            <w:r/>
            <w:r>
              <w:rPr>
                <w:sz w:val="19"/>
              </w:rPr>
              <w:t>9.  Deployment and Operations</w:t>
            </w:r>
          </w:p>
        </w:tc>
        <w:tc>
          <w:tcPr>
            <w:tcW w:type="dxa" w:w="5904"/>
          </w:tcPr>
          <w:p>
            <w:pPr>
              <w:spacing w:after="40"/>
            </w:pPr>
            <w:r/>
            <w:r>
              <w:rPr>
                <w:sz w:val="19"/>
              </w:rPr>
              <w:t>Specification, storage, observed scale</w:t>
            </w:r>
          </w:p>
        </w:tc>
      </w:tr>
      <w:tr>
        <w:tc>
          <w:tcPr>
            <w:tcW w:type="dxa" w:w="3600"/>
            <w:shd w:val="clear" w:fill="F2F6F9"/>
          </w:tcPr>
          <w:p>
            <w:pPr>
              <w:spacing w:after="40"/>
            </w:pPr>
            <w:r/>
            <w:r>
              <w:rPr>
                <w:sz w:val="19"/>
              </w:rPr>
              <w:t>10. Current Capability Statement</w:t>
            </w:r>
          </w:p>
        </w:tc>
        <w:tc>
          <w:tcPr>
            <w:tcW w:type="dxa" w:w="5904"/>
            <w:shd w:val="clear" w:fill="F2F6F9"/>
          </w:tcPr>
          <w:p>
            <w:pPr>
              <w:spacing w:after="40"/>
            </w:pPr>
            <w:r/>
            <w:r>
              <w:rPr>
                <w:sz w:val="19"/>
              </w:rPr>
              <w:t>Implemented, pending activation, and absent</w:t>
            </w:r>
          </w:p>
        </w:tc>
      </w:tr>
      <w:tr>
        <w:tc>
          <w:tcPr>
            <w:tcW w:type="dxa" w:w="3600"/>
          </w:tcPr>
          <w:p>
            <w:pPr>
              <w:spacing w:after="40"/>
            </w:pPr>
            <w:r/>
            <w:r>
              <w:rPr>
                <w:sz w:val="19"/>
              </w:rPr>
              <w:t>Appendix A</w:t>
            </w:r>
          </w:p>
        </w:tc>
        <w:tc>
          <w:tcPr>
            <w:tcW w:type="dxa" w:w="5904"/>
          </w:tcPr>
          <w:p>
            <w:pPr>
              <w:spacing w:after="40"/>
            </w:pPr>
            <w:r/>
            <w:r>
              <w:rPr>
                <w:sz w:val="19"/>
              </w:rPr>
              <w:t>Component reference</w:t>
            </w:r>
          </w:p>
        </w:tc>
      </w:tr>
      <w:tr>
        <w:tc>
          <w:tcPr>
            <w:tcW w:type="dxa" w:w="3600"/>
            <w:shd w:val="clear" w:fill="F2F6F9"/>
          </w:tcPr>
          <w:p>
            <w:pPr>
              <w:spacing w:after="40"/>
            </w:pPr>
            <w:r/>
            <w:r>
              <w:rPr>
                <w:sz w:val="19"/>
              </w:rPr>
              <w:t>Appendix B</w:t>
            </w:r>
          </w:p>
        </w:tc>
        <w:tc>
          <w:tcPr>
            <w:tcW w:type="dxa" w:w="5904"/>
            <w:shd w:val="clear" w:fill="F2F6F9"/>
          </w:tcPr>
          <w:p>
            <w:pPr>
              <w:spacing w:after="40"/>
            </w:pPr>
            <w:r/>
            <w:r>
              <w:rPr>
                <w:sz w:val="19"/>
              </w:rPr>
              <w:t>Principal configuration parameters</w:t>
            </w:r>
          </w:p>
        </w:tc>
      </w:tr>
    </w:tbl>
    <w:p>
      <w:pPr>
        <w:spacing w:after="80"/>
      </w:pPr>
    </w:p>
    <w:p>
      <w:r>
        <w:br w:type="page"/>
      </w:r>
    </w:p>
    <w:p>
      <w:pPr>
        <w:pStyle w:val="Heading1"/>
      </w:pPr>
      <w:r>
        <w:t>1. Executive Summary</w:t>
      </w:r>
    </w:p>
    <w:p>
      <w:pPr>
        <w:spacing w:after="120"/>
      </w:pPr>
      <w:r>
        <w:rPr>
          <w:b w:val="0"/>
          <w:i w:val="0"/>
          <w:color w:val="1A1A1A"/>
          <w:sz w:val="21"/>
        </w:rPr>
        <w:t>CyberSentinel UEBA is a behavioural analytics platform that detects insider threat, account compromise and anomalous entity activity by learning what normal looks like in a specific estate and reporting deviation from it. It consumes security events from an existing SIEM, scores every event through an unsupervised machine-learning pipeline, correlates related anomalies into campaigns, and presents the result to analysts through a web console with investigation, suppression and reporting workflows.</w:t>
      </w:r>
    </w:p>
    <w:p>
      <w:pPr>
        <w:spacing w:after="120"/>
      </w:pPr>
      <w:r>
        <w:rPr>
          <w:b w:val="0"/>
          <w:i w:val="0"/>
          <w:color w:val="1A1A1A"/>
          <w:sz w:val="21"/>
        </w:rPr>
        <w:t>The central design decision is that models are never shipped with the product. Each behavioural baseline is fitted to one estate's own population and its own score distribution, because "normal" at one organisation is not normal at another. A new installation therefore trains on the client's own traffic before it produces meaningful alerts. This is a deliberate accuracy trade-off, and it is described in full in Section 6.</w:t>
      </w:r>
    </w:p>
    <w:p>
      <w:pPr>
        <w:pStyle w:val="Heading2"/>
      </w:pPr>
      <w:r>
        <w:t>Key characteristics</w:t>
      </w:r>
    </w:p>
    <w:p>
      <w:pPr>
        <w:pStyle w:val="ListBullet"/>
        <w:spacing w:after="60"/>
      </w:pPr>
      <w:r>
        <w:rPr>
          <w:b/>
          <w:sz w:val="21"/>
        </w:rPr>
        <w:t xml:space="preserve">Fully unsupervised. </w:t>
      </w:r>
      <w:r>
        <w:rPr>
          <w:sz w:val="21"/>
        </w:rPr>
        <w:t>No labelled incident data is required to begin. Detection is based on deviation from a learned baseline, not on signatures or pre-trained threat models.</w:t>
      </w:r>
    </w:p>
    <w:p>
      <w:pPr>
        <w:pStyle w:val="ListBullet"/>
        <w:spacing w:after="60"/>
      </w:pPr>
      <w:r>
        <w:rPr>
          <w:b/>
          <w:sz w:val="21"/>
        </w:rPr>
        <w:t xml:space="preserve">Entity-level baselines. </w:t>
      </w:r>
      <w:r>
        <w:rPr>
          <w:sz w:val="21"/>
        </w:rPr>
        <w:t>A separate behavioural model is maintained per entity, so an action that is routine for one account and unprecedented for another is scored accordingly.</w:t>
      </w:r>
    </w:p>
    <w:p>
      <w:pPr>
        <w:pStyle w:val="ListBullet"/>
        <w:spacing w:after="60"/>
      </w:pPr>
      <w:r>
        <w:rPr>
          <w:b/>
          <w:sz w:val="21"/>
        </w:rPr>
        <w:t xml:space="preserve">On-premise by design. </w:t>
      </w:r>
      <w:r>
        <w:rPr>
          <w:sz w:val="21"/>
        </w:rPr>
        <w:t>The platform operates entirely within the client perimeter. No event data, and no derived content, is transmitted to any external service in the deployed configuration.</w:t>
      </w:r>
    </w:p>
    <w:p>
      <w:pPr>
        <w:pStyle w:val="ListBullet"/>
        <w:spacing w:after="60"/>
      </w:pPr>
      <w:r>
        <w:rPr>
          <w:b/>
          <w:sz w:val="21"/>
        </w:rPr>
        <w:t xml:space="preserve">SIEM-complementary. </w:t>
      </w:r>
      <w:r>
        <w:rPr>
          <w:sz w:val="21"/>
        </w:rPr>
        <w:t>The platform consumes normalised events from the existing SIEM rather than replacing it, and returns enriched alerts that can be consumed downstream.</w:t>
      </w:r>
    </w:p>
    <w:p>
      <w:r>
        <w:br w:type="page"/>
      </w:r>
    </w:p>
    <w:p>
      <w:pPr>
        <w:pStyle w:val="Heading1"/>
      </w:pPr>
      <w:r>
        <w:t>2. System Overview</w:t>
      </w:r>
    </w:p>
    <w:p>
      <w:pPr>
        <w:spacing w:after="120"/>
      </w:pPr>
      <w:r>
        <w:rPr>
          <w:b w:val="0"/>
          <w:i w:val="0"/>
          <w:color w:val="1A1A1A"/>
          <w:sz w:val="21"/>
        </w:rPr>
        <w:t>The platform is organised as four cooperating services and a shared data layer. Each service has a single responsibility and communicates through append-only files on disk rather than a message broker, which keeps the deployment footprint small and makes every stage independently restartable and independently auditable.</w:t>
      </w:r>
    </w:p>
    <w:p>
      <w:pPr>
        <w:pStyle w:val="Heading2"/>
      </w:pPr>
      <w:r>
        <w:t>2.1 Processing chain</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fill="0B6FA4"/>
          </w:tcPr>
          <w:p>
            <w:pPr>
              <w:spacing w:after="40"/>
            </w:pPr>
            <w:r/>
            <w:r>
              <w:rPr>
                <w:b/>
                <w:color w:val="FFFFFF"/>
                <w:sz w:val="19"/>
              </w:rPr>
              <w:t>#</w:t>
            </w:r>
          </w:p>
        </w:tc>
        <w:tc>
          <w:tcPr>
            <w:tcW w:type="dxa" w:w="1800"/>
            <w:shd w:val="clear" w:fill="0B6FA4"/>
          </w:tcPr>
          <w:p>
            <w:pPr>
              <w:spacing w:after="40"/>
            </w:pPr>
            <w:r/>
            <w:r>
              <w:rPr>
                <w:b/>
                <w:color w:val="FFFFFF"/>
                <w:sz w:val="19"/>
              </w:rPr>
              <w:t>Stage</w:t>
            </w:r>
          </w:p>
        </w:tc>
        <w:tc>
          <w:tcPr>
            <w:tcW w:type="dxa" w:w="4896"/>
            <w:shd w:val="clear" w:fill="0B6FA4"/>
          </w:tcPr>
          <w:p>
            <w:pPr>
              <w:spacing w:after="40"/>
            </w:pPr>
            <w:r/>
            <w:r>
              <w:rPr>
                <w:b/>
                <w:color w:val="FFFFFF"/>
                <w:sz w:val="19"/>
              </w:rPr>
              <w:t>Responsibility</w:t>
            </w:r>
          </w:p>
        </w:tc>
        <w:tc>
          <w:tcPr>
            <w:tcW w:type="dxa" w:w="2304"/>
            <w:shd w:val="clear" w:fill="0B6FA4"/>
          </w:tcPr>
          <w:p>
            <w:pPr>
              <w:spacing w:after="40"/>
            </w:pPr>
            <w:r/>
            <w:r>
              <w:rPr>
                <w:b/>
                <w:color w:val="FFFFFF"/>
                <w:sz w:val="19"/>
              </w:rPr>
              <w:t>Component</w:t>
            </w:r>
          </w:p>
        </w:tc>
      </w:tr>
      <w:tr>
        <w:tc>
          <w:tcPr>
            <w:tcW w:type="dxa" w:w="504"/>
          </w:tcPr>
          <w:p>
            <w:pPr>
              <w:spacing w:after="40"/>
            </w:pPr>
            <w:r/>
            <w:r>
              <w:rPr>
                <w:sz w:val="19"/>
              </w:rPr>
              <w:t>1</w:t>
            </w:r>
          </w:p>
        </w:tc>
        <w:tc>
          <w:tcPr>
            <w:tcW w:type="dxa" w:w="1800"/>
          </w:tcPr>
          <w:p>
            <w:pPr>
              <w:spacing w:after="40"/>
            </w:pPr>
            <w:r/>
            <w:r>
              <w:rPr>
                <w:sz w:val="19"/>
              </w:rPr>
              <w:t>Collection</w:t>
            </w:r>
          </w:p>
        </w:tc>
        <w:tc>
          <w:tcPr>
            <w:tcW w:type="dxa" w:w="4896"/>
          </w:tcPr>
          <w:p>
            <w:pPr>
              <w:spacing w:after="40"/>
            </w:pPr>
            <w:r/>
            <w:r>
              <w:rPr>
                <w:sz w:val="19"/>
              </w:rPr>
              <w:t>Security events are produced by endpoint and network agents and normalised by the SIEM.</w:t>
            </w:r>
          </w:p>
        </w:tc>
        <w:tc>
          <w:tcPr>
            <w:tcW w:type="dxa" w:w="2304"/>
          </w:tcPr>
          <w:p>
            <w:pPr>
              <w:spacing w:after="40"/>
            </w:pPr>
            <w:r/>
            <w:r>
              <w:rPr>
                <w:sz w:val="19"/>
              </w:rPr>
              <w:t>CyberSentinel SIEM</w:t>
            </w:r>
          </w:p>
        </w:tc>
      </w:tr>
      <w:tr>
        <w:tc>
          <w:tcPr>
            <w:tcW w:type="dxa" w:w="504"/>
            <w:shd w:val="clear" w:fill="F2F6F9"/>
          </w:tcPr>
          <w:p>
            <w:pPr>
              <w:spacing w:after="40"/>
            </w:pPr>
            <w:r/>
            <w:r>
              <w:rPr>
                <w:sz w:val="19"/>
              </w:rPr>
              <w:t>2</w:t>
            </w:r>
          </w:p>
        </w:tc>
        <w:tc>
          <w:tcPr>
            <w:tcW w:type="dxa" w:w="1800"/>
            <w:shd w:val="clear" w:fill="F2F6F9"/>
          </w:tcPr>
          <w:p>
            <w:pPr>
              <w:spacing w:after="40"/>
            </w:pPr>
            <w:r/>
            <w:r>
              <w:rPr>
                <w:sz w:val="19"/>
              </w:rPr>
              <w:t>Enrichment</w:t>
            </w:r>
          </w:p>
        </w:tc>
        <w:tc>
          <w:tcPr>
            <w:tcW w:type="dxa" w:w="4896"/>
            <w:shd w:val="clear" w:fill="F2F6F9"/>
          </w:tcPr>
          <w:p>
            <w:pPr>
              <w:spacing w:after="40"/>
            </w:pPr>
            <w:r/>
            <w:r>
              <w:rPr>
                <w:sz w:val="19"/>
              </w:rPr>
              <w:t>Events are decorated with threat intelligence, classification, risk scoring and fingerprinting.</w:t>
            </w:r>
          </w:p>
        </w:tc>
        <w:tc>
          <w:tcPr>
            <w:tcW w:type="dxa" w:w="2304"/>
            <w:shd w:val="clear" w:fill="F2F6F9"/>
          </w:tcPr>
          <w:p>
            <w:pPr>
              <w:spacing w:after="40"/>
            </w:pPr>
            <w:r/>
            <w:r>
              <w:rPr>
                <w:sz w:val="19"/>
              </w:rPr>
              <w:t>enrich_parallel.py</w:t>
            </w:r>
          </w:p>
        </w:tc>
      </w:tr>
      <w:tr>
        <w:tc>
          <w:tcPr>
            <w:tcW w:type="dxa" w:w="504"/>
          </w:tcPr>
          <w:p>
            <w:pPr>
              <w:spacing w:after="40"/>
            </w:pPr>
            <w:r/>
            <w:r>
              <w:rPr>
                <w:sz w:val="19"/>
              </w:rPr>
              <w:t>3</w:t>
            </w:r>
          </w:p>
        </w:tc>
        <w:tc>
          <w:tcPr>
            <w:tcW w:type="dxa" w:w="1800"/>
          </w:tcPr>
          <w:p>
            <w:pPr>
              <w:spacing w:after="40"/>
            </w:pPr>
            <w:r/>
            <w:r>
              <w:rPr>
                <w:sz w:val="19"/>
              </w:rPr>
              <w:t>Transport</w:t>
            </w:r>
          </w:p>
        </w:tc>
        <w:tc>
          <w:tcPr>
            <w:tcW w:type="dxa" w:w="4896"/>
          </w:tcPr>
          <w:p>
            <w:pPr>
              <w:spacing w:after="40"/>
            </w:pPr>
            <w:r/>
            <w:r>
              <w:rPr>
                <w:sz w:val="19"/>
              </w:rPr>
              <w:t>Enriched events are synchronised from the SIEM host to the analytics host over an authenticated tunnel.</w:t>
            </w:r>
          </w:p>
        </w:tc>
        <w:tc>
          <w:tcPr>
            <w:tcW w:type="dxa" w:w="2304"/>
          </w:tcPr>
          <w:p>
            <w:pPr>
              <w:spacing w:after="40"/>
            </w:pPr>
            <w:r/>
            <w:r>
              <w:rPr>
                <w:sz w:val="19"/>
              </w:rPr>
              <w:t>ueba_sync_bridge.sh</w:t>
            </w:r>
          </w:p>
        </w:tc>
      </w:tr>
      <w:tr>
        <w:tc>
          <w:tcPr>
            <w:tcW w:type="dxa" w:w="504"/>
            <w:shd w:val="clear" w:fill="F2F6F9"/>
          </w:tcPr>
          <w:p>
            <w:pPr>
              <w:spacing w:after="40"/>
            </w:pPr>
            <w:r/>
            <w:r>
              <w:rPr>
                <w:sz w:val="19"/>
              </w:rPr>
              <w:t>4</w:t>
            </w:r>
          </w:p>
        </w:tc>
        <w:tc>
          <w:tcPr>
            <w:tcW w:type="dxa" w:w="1800"/>
            <w:shd w:val="clear" w:fill="F2F6F9"/>
          </w:tcPr>
          <w:p>
            <w:pPr>
              <w:spacing w:after="40"/>
            </w:pPr>
            <w:r/>
            <w:r>
              <w:rPr>
                <w:sz w:val="19"/>
              </w:rPr>
              <w:t>Feature extraction</w:t>
            </w:r>
          </w:p>
        </w:tc>
        <w:tc>
          <w:tcPr>
            <w:tcW w:type="dxa" w:w="4896"/>
            <w:shd w:val="clear" w:fill="F2F6F9"/>
          </w:tcPr>
          <w:p>
            <w:pPr>
              <w:spacing w:after="40"/>
            </w:pPr>
            <w:r/>
            <w:r>
              <w:rPr>
                <w:sz w:val="19"/>
              </w:rPr>
              <w:t>Each event is projected into a 35-dimension numeric feature vector and an entity is resolved.</w:t>
            </w:r>
          </w:p>
        </w:tc>
        <w:tc>
          <w:tcPr>
            <w:tcW w:type="dxa" w:w="2304"/>
            <w:shd w:val="clear" w:fill="F2F6F9"/>
          </w:tcPr>
          <w:p>
            <w:pPr>
              <w:spacing w:after="40"/>
            </w:pPr>
            <w:r/>
            <w:r>
              <w:rPr>
                <w:sz w:val="19"/>
              </w:rPr>
              <w:t>ueba_preprocessor.py</w:t>
            </w:r>
          </w:p>
        </w:tc>
      </w:tr>
      <w:tr>
        <w:tc>
          <w:tcPr>
            <w:tcW w:type="dxa" w:w="504"/>
          </w:tcPr>
          <w:p>
            <w:pPr>
              <w:spacing w:after="40"/>
            </w:pPr>
            <w:r/>
            <w:r>
              <w:rPr>
                <w:sz w:val="19"/>
              </w:rPr>
              <w:t>5</w:t>
            </w:r>
          </w:p>
        </w:tc>
        <w:tc>
          <w:tcPr>
            <w:tcW w:type="dxa" w:w="1800"/>
          </w:tcPr>
          <w:p>
            <w:pPr>
              <w:spacing w:after="40"/>
            </w:pPr>
            <w:r/>
            <w:r>
              <w:rPr>
                <w:sz w:val="19"/>
              </w:rPr>
              <w:t>Detection</w:t>
            </w:r>
          </w:p>
        </w:tc>
        <w:tc>
          <w:tcPr>
            <w:tcW w:type="dxa" w:w="4896"/>
          </w:tcPr>
          <w:p>
            <w:pPr>
              <w:spacing w:after="40"/>
            </w:pPr>
            <w:r/>
            <w:r>
              <w:rPr>
                <w:sz w:val="19"/>
              </w:rPr>
              <w:t>Four analytical layers score the event and correlate it with recent anomalies.</w:t>
            </w:r>
          </w:p>
        </w:tc>
        <w:tc>
          <w:tcPr>
            <w:tcW w:type="dxa" w:w="2304"/>
          </w:tcPr>
          <w:p>
            <w:pPr>
              <w:spacing w:after="40"/>
            </w:pPr>
            <w:r/>
            <w:r>
              <w:rPr>
                <w:sz w:val="19"/>
              </w:rPr>
              <w:t>ueba_engine.py</w:t>
            </w:r>
          </w:p>
        </w:tc>
      </w:tr>
      <w:tr>
        <w:tc>
          <w:tcPr>
            <w:tcW w:type="dxa" w:w="504"/>
            <w:shd w:val="clear" w:fill="F2F6F9"/>
          </w:tcPr>
          <w:p>
            <w:pPr>
              <w:spacing w:after="40"/>
            </w:pPr>
            <w:r/>
            <w:r>
              <w:rPr>
                <w:sz w:val="19"/>
              </w:rPr>
              <w:t>6</w:t>
            </w:r>
          </w:p>
        </w:tc>
        <w:tc>
          <w:tcPr>
            <w:tcW w:type="dxa" w:w="1800"/>
            <w:shd w:val="clear" w:fill="F2F6F9"/>
          </w:tcPr>
          <w:p>
            <w:pPr>
              <w:spacing w:after="40"/>
            </w:pPr>
            <w:r/>
            <w:r>
              <w:rPr>
                <w:sz w:val="19"/>
              </w:rPr>
              <w:t>Presentation</w:t>
            </w:r>
          </w:p>
        </w:tc>
        <w:tc>
          <w:tcPr>
            <w:tcW w:type="dxa" w:w="4896"/>
            <w:shd w:val="clear" w:fill="F2F6F9"/>
          </w:tcPr>
          <w:p>
            <w:pPr>
              <w:spacing w:after="40"/>
            </w:pPr>
            <w:r/>
            <w:r>
              <w:rPr>
                <w:sz w:val="19"/>
              </w:rPr>
              <w:t>Alerts, investigation context, suppression, watch lists and reporting are served to analysts.</w:t>
            </w:r>
          </w:p>
        </w:tc>
        <w:tc>
          <w:tcPr>
            <w:tcW w:type="dxa" w:w="2304"/>
            <w:shd w:val="clear" w:fill="F2F6F9"/>
          </w:tcPr>
          <w:p>
            <w:pPr>
              <w:spacing w:after="40"/>
            </w:pPr>
            <w:r/>
            <w:r>
              <w:rPr>
                <w:sz w:val="19"/>
              </w:rPr>
              <w:t>ueba_dashboard_server.py</w:t>
            </w:r>
          </w:p>
        </w:tc>
      </w:tr>
    </w:tbl>
    <w:p>
      <w:pPr>
        <w:spacing w:after="80"/>
      </w:pPr>
    </w:p>
    <w:p>
      <w:pPr>
        <w:spacing w:after="240"/>
      </w:pPr>
      <w:r>
        <w:rPr>
          <w:b w:val="0"/>
          <w:i/>
          <w:color w:val="5B6B7A"/>
          <w:sz w:val="18"/>
        </w:rPr>
        <w:t>Table 2.1 — Processing chain. Stages 1–3 run on the SIEM side; stages 4–6 run on the analytics host.</w:t>
      </w:r>
    </w:p>
    <w:p>
      <w:pPr>
        <w:pStyle w:val="Heading2"/>
      </w:pPr>
      <w:r>
        <w:t>2.2 Runtime services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944"/>
            <w:shd w:val="clear" w:fill="0B6FA4"/>
          </w:tcPr>
          <w:p>
            <w:pPr>
              <w:spacing w:after="40"/>
            </w:pPr>
            <w:r/>
            <w:r>
              <w:rPr>
                <w:b/>
                <w:color w:val="FFFFFF"/>
                <w:sz w:val="19"/>
              </w:rPr>
              <w:t>Service</w:t>
            </w:r>
          </w:p>
        </w:tc>
        <w:tc>
          <w:tcPr>
            <w:tcW w:type="dxa" w:w="4752"/>
            <w:shd w:val="clear" w:fill="0B6FA4"/>
          </w:tcPr>
          <w:p>
            <w:pPr>
              <w:spacing w:after="40"/>
            </w:pPr>
            <w:r/>
            <w:r>
              <w:rPr>
                <w:b/>
                <w:color w:val="FFFFFF"/>
                <w:sz w:val="19"/>
              </w:rPr>
              <w:t>Function</w:t>
            </w:r>
          </w:p>
        </w:tc>
        <w:tc>
          <w:tcPr>
            <w:tcW w:type="dxa" w:w="2808"/>
            <w:shd w:val="clear" w:fill="0B6FA4"/>
          </w:tcPr>
          <w:p>
            <w:pPr>
              <w:spacing w:after="40"/>
            </w:pPr>
            <w:r/>
            <w:r>
              <w:rPr>
                <w:b/>
                <w:color w:val="FFFFFF"/>
                <w:sz w:val="19"/>
              </w:rPr>
              <w:t>Restart behaviour</w:t>
            </w:r>
          </w:p>
        </w:tc>
      </w:tr>
      <w:tr>
        <w:tc>
          <w:tcPr>
            <w:tcW w:type="dxa" w:w="1944"/>
          </w:tcPr>
          <w:p>
            <w:pPr>
              <w:spacing w:after="40"/>
            </w:pPr>
            <w:r/>
            <w:r>
              <w:rPr>
                <w:sz w:val="19"/>
              </w:rPr>
              <w:t>ueba-engine</w:t>
            </w:r>
          </w:p>
        </w:tc>
        <w:tc>
          <w:tcPr>
            <w:tcW w:type="dxa" w:w="4752"/>
          </w:tcPr>
          <w:p>
            <w:pPr>
              <w:spacing w:after="40"/>
            </w:pPr>
            <w:r/>
            <w:r>
              <w:rPr>
                <w:sz w:val="19"/>
              </w:rPr>
              <w:t>Streaming detection. Tails the enriched event feed, scores events and emits alerts.</w:t>
            </w:r>
          </w:p>
        </w:tc>
        <w:tc>
          <w:tcPr>
            <w:tcW w:type="dxa" w:w="2808"/>
          </w:tcPr>
          <w:p>
            <w:pPr>
              <w:spacing w:after="40"/>
            </w:pPr>
            <w:r/>
            <w:r>
              <w:rPr>
                <w:sz w:val="19"/>
              </w:rPr>
              <w:t>Resumes from a persisted byte offset; no events are re-scored or skipped.</w:t>
            </w:r>
          </w:p>
        </w:tc>
      </w:tr>
      <w:tr>
        <w:tc>
          <w:tcPr>
            <w:tcW w:type="dxa" w:w="1944"/>
            <w:shd w:val="clear" w:fill="F2F6F9"/>
          </w:tcPr>
          <w:p>
            <w:pPr>
              <w:spacing w:after="40"/>
            </w:pPr>
            <w:r/>
            <w:r>
              <w:rPr>
                <w:sz w:val="19"/>
              </w:rPr>
              <w:t>ueba-dashboard</w:t>
            </w:r>
          </w:p>
        </w:tc>
        <w:tc>
          <w:tcPr>
            <w:tcW w:type="dxa" w:w="4752"/>
            <w:shd w:val="clear" w:fill="F2F6F9"/>
          </w:tcPr>
          <w:p>
            <w:pPr>
              <w:spacing w:after="40"/>
            </w:pPr>
            <w:r/>
            <w:r>
              <w:rPr>
                <w:sz w:val="19"/>
              </w:rPr>
              <w:t>Web console, REST API, reporting engine and scheduler.</w:t>
            </w:r>
          </w:p>
        </w:tc>
        <w:tc>
          <w:tcPr>
            <w:tcW w:type="dxa" w:w="2808"/>
            <w:shd w:val="clear" w:fill="F2F6F9"/>
          </w:tcPr>
          <w:p>
            <w:pPr>
              <w:spacing w:after="40"/>
            </w:pPr>
            <w:r/>
            <w:r>
              <w:rPr>
                <w:sz w:val="19"/>
              </w:rPr>
              <w:t>Stateless with respect to detection; safe to restart at any time.</w:t>
            </w:r>
          </w:p>
        </w:tc>
      </w:tr>
      <w:tr>
        <w:tc>
          <w:tcPr>
            <w:tcW w:type="dxa" w:w="1944"/>
          </w:tcPr>
          <w:p>
            <w:pPr>
              <w:spacing w:after="40"/>
            </w:pPr>
            <w:r/>
            <w:r>
              <w:rPr>
                <w:sz w:val="19"/>
              </w:rPr>
              <w:t>ueba-bridge</w:t>
            </w:r>
          </w:p>
        </w:tc>
        <w:tc>
          <w:tcPr>
            <w:tcW w:type="dxa" w:w="4752"/>
          </w:tcPr>
          <w:p>
            <w:pPr>
              <w:spacing w:after="40"/>
            </w:pPr>
            <w:r/>
            <w:r>
              <w:rPr>
                <w:sz w:val="19"/>
              </w:rPr>
              <w:t>Event transport from the SIEM host.</w:t>
            </w:r>
          </w:p>
        </w:tc>
        <w:tc>
          <w:tcPr>
            <w:tcW w:type="dxa" w:w="2808"/>
          </w:tcPr>
          <w:p>
            <w:pPr>
              <w:spacing w:after="40"/>
            </w:pPr>
            <w:r/>
            <w:r>
              <w:rPr>
                <w:sz w:val="19"/>
              </w:rPr>
              <w:t>Resumes from a persisted position marker.</w:t>
            </w:r>
          </w:p>
        </w:tc>
      </w:tr>
      <w:tr>
        <w:tc>
          <w:tcPr>
            <w:tcW w:type="dxa" w:w="1944"/>
            <w:shd w:val="clear" w:fill="F2F6F9"/>
          </w:tcPr>
          <w:p>
            <w:pPr>
              <w:spacing w:after="40"/>
            </w:pPr>
            <w:r/>
            <w:r>
              <w:rPr>
                <w:sz w:val="19"/>
              </w:rPr>
              <w:t>sshd-tunnel</w:t>
            </w:r>
          </w:p>
        </w:tc>
        <w:tc>
          <w:tcPr>
            <w:tcW w:type="dxa" w:w="4752"/>
            <w:shd w:val="clear" w:fill="F2F6F9"/>
          </w:tcPr>
          <w:p>
            <w:pPr>
              <w:spacing w:after="40"/>
            </w:pPr>
            <w:r/>
            <w:r>
              <w:rPr>
                <w:sz w:val="19"/>
              </w:rPr>
              <w:t>Dedicated authenticated tunnel for the transport path.</w:t>
            </w:r>
          </w:p>
        </w:tc>
        <w:tc>
          <w:tcPr>
            <w:tcW w:type="dxa" w:w="2808"/>
            <w:shd w:val="clear" w:fill="F2F6F9"/>
          </w:tcPr>
          <w:p>
            <w:pPr>
              <w:spacing w:after="40"/>
            </w:pPr>
            <w:r/>
            <w:r>
              <w:rPr>
                <w:sz w:val="19"/>
              </w:rPr>
              <w:t>Managed independently of the system SSH daemon.</w:t>
            </w:r>
          </w:p>
        </w:tc>
      </w:tr>
    </w:tbl>
    <w:p>
      <w:pPr>
        <w:spacing w:after="80"/>
      </w:pPr>
    </w:p>
    <w:p>
      <w:pPr>
        <w:spacing w:after="240"/>
      </w:pPr>
      <w:r>
        <w:rPr>
          <w:b w:val="0"/>
          <w:i/>
          <w:color w:val="5B6B7A"/>
          <w:sz w:val="18"/>
        </w:rPr>
        <w:t>Table 2.2 — All four services are managed by systemd and start on boot.</w:t>
      </w:r>
    </w:p>
    <w:p>
      <w:r>
        <w:br w:type="page"/>
      </w:r>
    </w:p>
    <w:p>
      <w:pPr>
        <w:pStyle w:val="Heading1"/>
      </w:pPr>
      <w:r>
        <w:t>3. Detection Methodology</w:t>
      </w:r>
    </w:p>
    <w:p>
      <w:pPr>
        <w:spacing w:after="120"/>
      </w:pPr>
      <w:r>
        <w:rPr>
          <w:b w:val="0"/>
          <w:i w:val="0"/>
          <w:color w:val="1A1A1A"/>
          <w:sz w:val="21"/>
        </w:rPr>
        <w:t>Detection is performed by four analytical layers. The first two produce independent anomaly scores that are fused into a single verdict; the third and fourth add correlation and investigative context rather than score.</w:t>
      </w:r>
    </w:p>
    <w:p>
      <w:pPr>
        <w:pStyle w:val="Heading2"/>
      </w:pPr>
      <w:r>
        <w:t>3.1 Layer 1 — Isolation Forest (global outlier detection)</w:t>
      </w:r>
    </w:p>
    <w:p>
      <w:pPr>
        <w:spacing w:after="120"/>
      </w:pPr>
      <w:r>
        <w:rPr>
          <w:b w:val="0"/>
          <w:i w:val="0"/>
          <w:color w:val="1A1A1A"/>
          <w:sz w:val="21"/>
        </w:rPr>
        <w:t>An Isolation Forest is trained across the whole estate and scores every event for global rarity: how unusual this event is relative to all observed activity, irrespective of who performed it. Isolation Forests isolate anomalies in fewer partitions than normal points, which makes them effective on high-volume, unlabelled data and inexpensive at inference time.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944"/>
            <w:shd w:val="clear" w:fill="0B6FA4"/>
          </w:tcPr>
          <w:p>
            <w:pPr>
              <w:spacing w:after="40"/>
            </w:pPr>
            <w:r/>
            <w:r>
              <w:rPr>
                <w:b/>
                <w:color w:val="FFFFFF"/>
                <w:sz w:val="19"/>
              </w:rPr>
              <w:t>Parameter</w:t>
            </w:r>
          </w:p>
        </w:tc>
        <w:tc>
          <w:tcPr>
            <w:tcW w:type="dxa" w:w="1944"/>
            <w:shd w:val="clear" w:fill="0B6FA4"/>
          </w:tcPr>
          <w:p>
            <w:pPr>
              <w:spacing w:after="40"/>
            </w:pPr>
            <w:r/>
            <w:r>
              <w:rPr>
                <w:b/>
                <w:color w:val="FFFFFF"/>
                <w:sz w:val="19"/>
              </w:rPr>
              <w:t>Value</w:t>
            </w:r>
          </w:p>
        </w:tc>
        <w:tc>
          <w:tcPr>
            <w:tcW w:type="dxa" w:w="5616"/>
            <w:shd w:val="clear" w:fill="0B6FA4"/>
          </w:tcPr>
          <w:p>
            <w:pPr>
              <w:spacing w:after="40"/>
            </w:pPr>
            <w:r/>
            <w:r>
              <w:rPr>
                <w:b/>
                <w:color w:val="FFFFFF"/>
                <w:sz w:val="19"/>
              </w:rPr>
              <w:t>Rationale</w:t>
            </w:r>
          </w:p>
        </w:tc>
      </w:tr>
      <w:tr>
        <w:tc>
          <w:tcPr>
            <w:tcW w:type="dxa" w:w="1944"/>
          </w:tcPr>
          <w:p>
            <w:pPr>
              <w:spacing w:after="40"/>
            </w:pPr>
            <w:r/>
            <w:r>
              <w:rPr>
                <w:sz w:val="19"/>
              </w:rPr>
              <w:t>Estimators</w:t>
            </w:r>
          </w:p>
        </w:tc>
        <w:tc>
          <w:tcPr>
            <w:tcW w:type="dxa" w:w="1944"/>
          </w:tcPr>
          <w:p>
            <w:pPr>
              <w:spacing w:after="40"/>
            </w:pPr>
            <w:r/>
            <w:r>
              <w:rPr>
                <w:sz w:val="19"/>
              </w:rPr>
              <w:t>200</w:t>
            </w:r>
          </w:p>
        </w:tc>
        <w:tc>
          <w:tcPr>
            <w:tcW w:type="dxa" w:w="5616"/>
          </w:tcPr>
          <w:p>
            <w:pPr>
              <w:spacing w:after="40"/>
            </w:pPr>
            <w:r/>
            <w:r>
              <w:rPr>
                <w:sz w:val="19"/>
              </w:rPr>
              <w:t>Stable scoring without disproportionate inference cost.</w:t>
            </w:r>
          </w:p>
        </w:tc>
      </w:tr>
      <w:tr>
        <w:tc>
          <w:tcPr>
            <w:tcW w:type="dxa" w:w="1944"/>
            <w:shd w:val="clear" w:fill="F2F6F9"/>
          </w:tcPr>
          <w:p>
            <w:pPr>
              <w:spacing w:after="40"/>
            </w:pPr>
            <w:r/>
            <w:r>
              <w:rPr>
                <w:sz w:val="19"/>
              </w:rPr>
              <w:t>Contamination</w:t>
            </w:r>
          </w:p>
        </w:tc>
        <w:tc>
          <w:tcPr>
            <w:tcW w:type="dxa" w:w="1944"/>
            <w:shd w:val="clear" w:fill="F2F6F9"/>
          </w:tcPr>
          <w:p>
            <w:pPr>
              <w:spacing w:after="40"/>
            </w:pPr>
            <w:r/>
            <w:r>
              <w:rPr>
                <w:sz w:val="19"/>
              </w:rPr>
              <w:t>0.005</w:t>
            </w:r>
          </w:p>
        </w:tc>
        <w:tc>
          <w:tcPr>
            <w:tcW w:type="dxa" w:w="5616"/>
            <w:shd w:val="clear" w:fill="F2F6F9"/>
          </w:tcPr>
          <w:p>
            <w:pPr>
              <w:spacing w:after="40"/>
            </w:pPr>
            <w:r/>
            <w:r>
              <w:rPr>
                <w:sz w:val="19"/>
              </w:rPr>
              <w:t>Expected outlier fraction; deliberately conservative to limit baseline alert volume.</w:t>
            </w:r>
          </w:p>
        </w:tc>
      </w:tr>
      <w:tr>
        <w:tc>
          <w:tcPr>
            <w:tcW w:type="dxa" w:w="1944"/>
          </w:tcPr>
          <w:p>
            <w:pPr>
              <w:spacing w:after="40"/>
            </w:pPr>
            <w:r/>
            <w:r>
              <w:rPr>
                <w:sz w:val="19"/>
              </w:rPr>
              <w:t>Training sample</w:t>
            </w:r>
          </w:p>
        </w:tc>
        <w:tc>
          <w:tcPr>
            <w:tcW w:type="dxa" w:w="1944"/>
          </w:tcPr>
          <w:p>
            <w:pPr>
              <w:spacing w:after="40"/>
            </w:pPr>
            <w:r/>
            <w:r>
              <w:rPr>
                <w:sz w:val="19"/>
              </w:rPr>
              <w:t>500,000 events</w:t>
            </w:r>
          </w:p>
        </w:tc>
        <w:tc>
          <w:tcPr>
            <w:tcW w:type="dxa" w:w="5616"/>
          </w:tcPr>
          <w:p>
            <w:pPr>
              <w:spacing w:after="40"/>
            </w:pPr>
            <w:r/>
            <w:r>
              <w:rPr>
                <w:sz w:val="19"/>
              </w:rPr>
              <w:t>Representative sample of the estate; bounds training time and memory.</w:t>
            </w:r>
          </w:p>
        </w:tc>
      </w:tr>
      <w:tr>
        <w:tc>
          <w:tcPr>
            <w:tcW w:type="dxa" w:w="1944"/>
            <w:shd w:val="clear" w:fill="F2F6F9"/>
          </w:tcPr>
          <w:p>
            <w:pPr>
              <w:spacing w:after="40"/>
            </w:pPr>
            <w:r/>
            <w:r>
              <w:rPr>
                <w:sz w:val="19"/>
              </w:rPr>
              <w:t>Inference batching</w:t>
            </w:r>
          </w:p>
        </w:tc>
        <w:tc>
          <w:tcPr>
            <w:tcW w:type="dxa" w:w="1944"/>
            <w:shd w:val="clear" w:fill="F2F6F9"/>
          </w:tcPr>
          <w:p>
            <w:pPr>
              <w:spacing w:after="40"/>
            </w:pPr>
            <w:r/>
            <w:r>
              <w:rPr>
                <w:sz w:val="19"/>
              </w:rPr>
              <w:t>128 events</w:t>
            </w:r>
          </w:p>
        </w:tc>
        <w:tc>
          <w:tcPr>
            <w:tcW w:type="dxa" w:w="5616"/>
            <w:shd w:val="clear" w:fill="F2F6F9"/>
          </w:tcPr>
          <w:p>
            <w:pPr>
              <w:spacing w:after="40"/>
            </w:pPr>
            <w:r/>
            <w:r>
              <w:rPr>
                <w:sz w:val="19"/>
              </w:rPr>
              <w:t>Scoring is dominated by a large fixed per-call cost, so the batch amortises it across many events.</w:t>
            </w:r>
          </w:p>
        </w:tc>
      </w:tr>
    </w:tbl>
    <w:p>
      <w:pPr>
        <w:spacing w:after="80"/>
      </w:pPr>
    </w:p>
    <w:p>
      <w:pPr>
        <w:pStyle w:val="Heading2"/>
      </w:pPr>
      <w:r>
        <w:t>3.2 Layer 2 — Per-entity autoencoders (behavioural baseline)</w:t>
      </w:r>
    </w:p>
    <w:p>
      <w:pPr>
        <w:spacing w:after="120"/>
      </w:pPr>
      <w:r>
        <w:rPr>
          <w:b w:val="0"/>
          <w:i w:val="0"/>
          <w:color w:val="1A1A1A"/>
          <w:sz w:val="21"/>
        </w:rPr>
        <w:t>Each sufficiently active entity receives its own autoencoder: a neural network trained to reconstruct that entity's own behaviour. When an event reconstructs poorly, it is behaviour the entity has not exhibited before. This is the layer that distinguishes UEBA from generic outlier detection, because it judges an action against the actor rather than against the population.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312"/>
            <w:shd w:val="clear" w:fill="0B6FA4"/>
          </w:tcPr>
          <w:p>
            <w:pPr>
              <w:spacing w:after="40"/>
            </w:pPr>
            <w:r/>
            <w:r>
              <w:rPr>
                <w:b/>
                <w:color w:val="FFFFFF"/>
                <w:sz w:val="19"/>
              </w:rPr>
              <w:t>Property</w:t>
            </w:r>
          </w:p>
        </w:tc>
        <w:tc>
          <w:tcPr>
            <w:tcW w:type="dxa" w:w="6192"/>
            <w:shd w:val="clear" w:fill="0B6FA4"/>
          </w:tcPr>
          <w:p>
            <w:pPr>
              <w:spacing w:after="40"/>
            </w:pPr>
            <w:r/>
            <w:r>
              <w:rPr>
                <w:b/>
                <w:color w:val="FFFFFF"/>
                <w:sz w:val="19"/>
              </w:rPr>
              <w:t>Value</w:t>
            </w:r>
          </w:p>
        </w:tc>
      </w:tr>
      <w:tr>
        <w:tc>
          <w:tcPr>
            <w:tcW w:type="dxa" w:w="3312"/>
          </w:tcPr>
          <w:p>
            <w:pPr>
              <w:spacing w:after="40"/>
            </w:pPr>
            <w:r/>
            <w:r>
              <w:rPr>
                <w:sz w:val="19"/>
              </w:rPr>
              <w:t>Architecture</w:t>
            </w:r>
          </w:p>
        </w:tc>
        <w:tc>
          <w:tcPr>
            <w:tcW w:type="dxa" w:w="6192"/>
          </w:tcPr>
          <w:p>
            <w:pPr>
              <w:spacing w:after="40"/>
            </w:pPr>
            <w:r/>
            <w:r>
              <w:rPr>
                <w:sz w:val="19"/>
              </w:rPr>
              <w:t>35 → 24 → 12 → 24 → 35 (symmetric undercomplete autoencoder)</w:t>
            </w:r>
          </w:p>
        </w:tc>
      </w:tr>
      <w:tr>
        <w:tc>
          <w:tcPr>
            <w:tcW w:type="dxa" w:w="3312"/>
            <w:shd w:val="clear" w:fill="F2F6F9"/>
          </w:tcPr>
          <w:p>
            <w:pPr>
              <w:spacing w:after="40"/>
            </w:pPr>
            <w:r/>
            <w:r>
              <w:rPr>
                <w:sz w:val="19"/>
              </w:rPr>
              <w:t>Activation / regularisation</w:t>
            </w:r>
          </w:p>
        </w:tc>
        <w:tc>
          <w:tcPr>
            <w:tcW w:type="dxa" w:w="6192"/>
            <w:shd w:val="clear" w:fill="F2F6F9"/>
          </w:tcPr>
          <w:p>
            <w:pPr>
              <w:spacing w:after="40"/>
            </w:pPr>
            <w:r/>
            <w:r>
              <w:rPr>
                <w:sz w:val="19"/>
              </w:rPr>
              <w:t>ReLU, dropout 0.1</w:t>
            </w:r>
          </w:p>
        </w:tc>
      </w:tr>
      <w:tr>
        <w:tc>
          <w:tcPr>
            <w:tcW w:type="dxa" w:w="3312"/>
          </w:tcPr>
          <w:p>
            <w:pPr>
              <w:spacing w:after="40"/>
            </w:pPr>
            <w:r/>
            <w:r>
              <w:rPr>
                <w:sz w:val="19"/>
              </w:rPr>
              <w:t>Anomaly threshold</w:t>
            </w:r>
          </w:p>
        </w:tc>
        <w:tc>
          <w:tcPr>
            <w:tcW w:type="dxa" w:w="6192"/>
          </w:tcPr>
          <w:p>
            <w:pPr>
              <w:spacing w:after="40"/>
            </w:pPr>
            <w:r/>
            <w:r>
              <w:rPr>
                <w:sz w:val="19"/>
              </w:rPr>
              <w:t>95th percentile of the entity's own reconstruction error</w:t>
            </w:r>
          </w:p>
        </w:tc>
      </w:tr>
      <w:tr>
        <w:tc>
          <w:tcPr>
            <w:tcW w:type="dxa" w:w="3312"/>
            <w:shd w:val="clear" w:fill="F2F6F9"/>
          </w:tcPr>
          <w:p>
            <w:pPr>
              <w:spacing w:after="40"/>
            </w:pPr>
            <w:r/>
            <w:r>
              <w:rPr>
                <w:sz w:val="19"/>
              </w:rPr>
              <w:t>Eligibility for a private model</w:t>
            </w:r>
          </w:p>
        </w:tc>
        <w:tc>
          <w:tcPr>
            <w:tcW w:type="dxa" w:w="6192"/>
            <w:shd w:val="clear" w:fill="F2F6F9"/>
          </w:tcPr>
          <w:p>
            <w:pPr>
              <w:spacing w:after="40"/>
            </w:pPr>
            <w:r/>
            <w:r>
              <w:rPr>
                <w:sz w:val="19"/>
              </w:rPr>
              <w:t>Entities with at least the configured minimum event count (currently 2,000)</w:t>
            </w:r>
          </w:p>
        </w:tc>
      </w:tr>
      <w:tr>
        <w:tc>
          <w:tcPr>
            <w:tcW w:type="dxa" w:w="3312"/>
          </w:tcPr>
          <w:p>
            <w:pPr>
              <w:spacing w:after="40"/>
            </w:pPr>
            <w:r/>
            <w:r>
              <w:rPr>
                <w:sz w:val="19"/>
              </w:rPr>
              <w:t>Fallback</w:t>
            </w:r>
          </w:p>
        </w:tc>
        <w:tc>
          <w:tcPr>
            <w:tcW w:type="dxa" w:w="6192"/>
          </w:tcPr>
          <w:p>
            <w:pPr>
              <w:spacing w:after="40"/>
            </w:pPr>
            <w:r/>
            <w:r>
              <w:rPr>
                <w:sz w:val="19"/>
              </w:rPr>
              <w:t>A global autoencoder scores entities below that threshold, so sparse entities are still covered</w:t>
            </w:r>
          </w:p>
        </w:tc>
      </w:tr>
      <w:tr>
        <w:tc>
          <w:tcPr>
            <w:tcW w:type="dxa" w:w="3312"/>
            <w:shd w:val="clear" w:fill="F2F6F9"/>
          </w:tcPr>
          <w:p>
            <w:pPr>
              <w:spacing w:after="40"/>
            </w:pPr>
            <w:r/>
            <w:r>
              <w:rPr>
                <w:sz w:val="19"/>
              </w:rPr>
              <w:t>Models in the reference deployment</w:t>
            </w:r>
          </w:p>
        </w:tc>
        <w:tc>
          <w:tcPr>
            <w:tcW w:type="dxa" w:w="6192"/>
            <w:shd w:val="clear" w:fill="F2F6F9"/>
          </w:tcPr>
          <w:p>
            <w:pPr>
              <w:spacing w:after="40"/>
            </w:pPr>
            <w:r/>
            <w:r>
              <w:rPr>
                <w:sz w:val="19"/>
              </w:rPr>
              <w:t>556 per-entity models plus one global model</w:t>
            </w:r>
          </w:p>
        </w:tc>
      </w:tr>
    </w:tbl>
    <w:p>
      <w:pPr>
        <w:spacing w:after="80"/>
      </w:pPr>
    </w:p>
    <w:p>
      <w:pPr>
        <w:spacing w:after="120"/>
      </w:pPr>
      <w:r>
        <w:rPr>
          <w:b w:val="0"/>
          <w:i w:val="0"/>
          <w:color w:val="1A1A1A"/>
          <w:sz w:val="20"/>
        </w:rPr>
        <w:t>Training runs on GPU where available and inference runs on CPU. This split is deliberate: the models are small, and GPU inference for a ~2,000-parameter network is dominated by transfer overhead rather than computation.</w:t>
      </w:r>
    </w:p>
    <w:p>
      <w:pPr>
        <w:pStyle w:val="Heading2"/>
      </w:pPr>
      <w:r>
        <w:t>3.3 Layer 3 — HDBSCAN campaign correlation</w:t>
      </w:r>
    </w:p>
    <w:p>
      <w:pPr>
        <w:spacing w:after="120"/>
      </w:pPr>
      <w:r>
        <w:rPr>
          <w:b w:val="0"/>
          <w:i w:val="0"/>
          <w:color w:val="1A1A1A"/>
          <w:sz w:val="21"/>
        </w:rPr>
        <w:t>Anomalies rarely occur in isolation. Recent anomalous events are clustered in feature space by HDBSCAN, which groups related activity into campaigns without being told how many clusters to expect and marks genuinely isolated events as noise rather than forcing them into a group. An analyst can therefore triage one campaign instead of forty separate alerts.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744"/>
            <w:shd w:val="clear" w:fill="0B6FA4"/>
          </w:tcPr>
          <w:p>
            <w:pPr>
              <w:spacing w:after="40"/>
            </w:pPr>
            <w:r/>
            <w:r>
              <w:rPr>
                <w:b/>
                <w:color w:val="FFFFFF"/>
                <w:sz w:val="19"/>
              </w:rPr>
              <w:t>Parameter</w:t>
            </w:r>
          </w:p>
        </w:tc>
        <w:tc>
          <w:tcPr>
            <w:tcW w:type="dxa" w:w="5760"/>
            <w:shd w:val="clear" w:fill="0B6FA4"/>
          </w:tcPr>
          <w:p>
            <w:pPr>
              <w:spacing w:after="40"/>
            </w:pPr>
            <w:r/>
            <w:r>
              <w:rPr>
                <w:b/>
                <w:color w:val="FFFFFF"/>
                <w:sz w:val="19"/>
              </w:rPr>
              <w:t>Value</w:t>
            </w:r>
          </w:p>
        </w:tc>
      </w:tr>
      <w:tr>
        <w:tc>
          <w:tcPr>
            <w:tcW w:type="dxa" w:w="3744"/>
          </w:tcPr>
          <w:p>
            <w:pPr>
              <w:spacing w:after="40"/>
            </w:pPr>
            <w:r/>
            <w:r>
              <w:rPr>
                <w:sz w:val="19"/>
              </w:rPr>
              <w:t>Minimum cluster size</w:t>
            </w:r>
          </w:p>
        </w:tc>
        <w:tc>
          <w:tcPr>
            <w:tcW w:type="dxa" w:w="5760"/>
          </w:tcPr>
          <w:p>
            <w:pPr>
              <w:spacing w:after="40"/>
            </w:pPr>
            <w:r/>
            <w:r>
              <w:rPr>
                <w:sz w:val="19"/>
              </w:rPr>
              <w:t>5 events</w:t>
            </w:r>
          </w:p>
        </w:tc>
      </w:tr>
      <w:tr>
        <w:tc>
          <w:tcPr>
            <w:tcW w:type="dxa" w:w="3744"/>
            <w:shd w:val="clear" w:fill="F2F6F9"/>
          </w:tcPr>
          <w:p>
            <w:pPr>
              <w:spacing w:after="40"/>
            </w:pPr>
            <w:r/>
            <w:r>
              <w:rPr>
                <w:sz w:val="19"/>
              </w:rPr>
              <w:t>Minimum samples</w:t>
            </w:r>
          </w:p>
        </w:tc>
        <w:tc>
          <w:tcPr>
            <w:tcW w:type="dxa" w:w="5760"/>
            <w:shd w:val="clear" w:fill="F2F6F9"/>
          </w:tcPr>
          <w:p>
            <w:pPr>
              <w:spacing w:after="40"/>
            </w:pPr>
            <w:r/>
            <w:r>
              <w:rPr>
                <w:sz w:val="19"/>
              </w:rPr>
              <w:t>3</w:t>
            </w:r>
          </w:p>
        </w:tc>
      </w:tr>
      <w:tr>
        <w:tc>
          <w:tcPr>
            <w:tcW w:type="dxa" w:w="3744"/>
          </w:tcPr>
          <w:p>
            <w:pPr>
              <w:spacing w:after="40"/>
            </w:pPr>
            <w:r/>
            <w:r>
              <w:rPr>
                <w:sz w:val="19"/>
              </w:rPr>
              <w:t>Distance metric</w:t>
            </w:r>
          </w:p>
        </w:tc>
        <w:tc>
          <w:tcPr>
            <w:tcW w:type="dxa" w:w="5760"/>
          </w:tcPr>
          <w:p>
            <w:pPr>
              <w:spacing w:after="40"/>
            </w:pPr>
            <w:r/>
            <w:r>
              <w:rPr>
                <w:sz w:val="19"/>
              </w:rPr>
              <w:t>Euclidean</w:t>
            </w:r>
          </w:p>
        </w:tc>
      </w:tr>
      <w:tr>
        <w:tc>
          <w:tcPr>
            <w:tcW w:type="dxa" w:w="3744"/>
            <w:shd w:val="clear" w:fill="F2F6F9"/>
          </w:tcPr>
          <w:p>
            <w:pPr>
              <w:spacing w:after="40"/>
            </w:pPr>
            <w:r/>
            <w:r>
              <w:rPr>
                <w:sz w:val="19"/>
              </w:rPr>
              <w:t>Clustering interval</w:t>
            </w:r>
          </w:p>
        </w:tc>
        <w:tc>
          <w:tcPr>
            <w:tcW w:type="dxa" w:w="5760"/>
            <w:shd w:val="clear" w:fill="F2F6F9"/>
          </w:tcPr>
          <w:p>
            <w:pPr>
              <w:spacing w:after="40"/>
            </w:pPr>
            <w:r/>
            <w:r>
              <w:rPr>
                <w:sz w:val="19"/>
              </w:rPr>
              <w:t>900 seconds</w:t>
            </w:r>
          </w:p>
        </w:tc>
      </w:tr>
      <w:tr>
        <w:tc>
          <w:tcPr>
            <w:tcW w:type="dxa" w:w="3744"/>
          </w:tcPr>
          <w:p>
            <w:pPr>
              <w:spacing w:after="40"/>
            </w:pPr>
            <w:r/>
            <w:r>
              <w:rPr>
                <w:sz w:val="19"/>
              </w:rPr>
              <w:t>Rolling anomaly buffer</w:t>
            </w:r>
          </w:p>
        </w:tc>
        <w:tc>
          <w:tcPr>
            <w:tcW w:type="dxa" w:w="5760"/>
          </w:tcPr>
          <w:p>
            <w:pPr>
              <w:spacing w:after="40"/>
            </w:pPr>
            <w:r/>
            <w:r>
              <w:rPr>
                <w:sz w:val="19"/>
              </w:rPr>
              <w:t>1,000 events</w:t>
            </w:r>
          </w:p>
        </w:tc>
      </w:tr>
      <w:tr>
        <w:tc>
          <w:tcPr>
            <w:tcW w:type="dxa" w:w="3744"/>
            <w:shd w:val="clear" w:fill="F2F6F9"/>
          </w:tcPr>
          <w:p>
            <w:pPr>
              <w:spacing w:after="40"/>
            </w:pPr>
            <w:r/>
            <w:r>
              <w:rPr>
                <w:sz w:val="19"/>
              </w:rPr>
              <w:t>Minimum cluster persistence</w:t>
            </w:r>
          </w:p>
        </w:tc>
        <w:tc>
          <w:tcPr>
            <w:tcW w:type="dxa" w:w="5760"/>
            <w:shd w:val="clear" w:fill="F2F6F9"/>
          </w:tcPr>
          <w:p>
            <w:pPr>
              <w:spacing w:after="40"/>
            </w:pPr>
            <w:r/>
            <w:r>
              <w:rPr>
                <w:sz w:val="19"/>
              </w:rPr>
              <w:t>0.3</w:t>
            </w:r>
          </w:p>
        </w:tc>
      </w:tr>
    </w:tbl>
    <w:p>
      <w:pPr>
        <w:spacing w:after="80"/>
      </w:pPr>
    </w:p>
    <w:p>
      <w:pPr>
        <w:pStyle w:val="Heading2"/>
      </w:pPr>
      <w:r>
        <w:t>3.4 Layer 4 — Vector similarity retrieval</w:t>
      </w:r>
    </w:p>
    <w:p>
      <w:pPr>
        <w:spacing w:after="120"/>
      </w:pPr>
      <w:r>
        <w:rPr>
          <w:b w:val="0"/>
          <w:i w:val="0"/>
          <w:color w:val="1A1A1A"/>
          <w:sz w:val="21"/>
        </w:rPr>
        <w:t>Every scored anomaly is indexed in a FAISS vector store. When a new anomaly is raised, the most similar historical anomalies are retrieved and attached to it, so an analyst can immediately see whether the activity resembles something previously investigated and how it was resolved. In the reference deployment the index holds approximately 5.6 million vectors.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744"/>
            <w:shd w:val="clear" w:fill="0B6FA4"/>
          </w:tcPr>
          <w:p>
            <w:pPr>
              <w:spacing w:after="40"/>
            </w:pPr>
            <w:r/>
            <w:r>
              <w:rPr>
                <w:b/>
                <w:color w:val="FFFFFF"/>
                <w:sz w:val="19"/>
              </w:rPr>
              <w:t>Parameter</w:t>
            </w:r>
          </w:p>
        </w:tc>
        <w:tc>
          <w:tcPr>
            <w:tcW w:type="dxa" w:w="5760"/>
            <w:shd w:val="clear" w:fill="0B6FA4"/>
          </w:tcPr>
          <w:p>
            <w:pPr>
              <w:spacing w:after="40"/>
            </w:pPr>
            <w:r/>
            <w:r>
              <w:rPr>
                <w:b/>
                <w:color w:val="FFFFFF"/>
                <w:sz w:val="19"/>
              </w:rPr>
              <w:t>Value</w:t>
            </w:r>
          </w:p>
        </w:tc>
      </w:tr>
      <w:tr>
        <w:tc>
          <w:tcPr>
            <w:tcW w:type="dxa" w:w="3744"/>
          </w:tcPr>
          <w:p>
            <w:pPr>
              <w:spacing w:after="40"/>
            </w:pPr>
            <w:r/>
            <w:r>
              <w:rPr>
                <w:sz w:val="19"/>
              </w:rPr>
              <w:t>Neighbours retrieved</w:t>
            </w:r>
          </w:p>
        </w:tc>
        <w:tc>
          <w:tcPr>
            <w:tcW w:type="dxa" w:w="5760"/>
          </w:tcPr>
          <w:p>
            <w:pPr>
              <w:spacing w:after="40"/>
            </w:pPr>
            <w:r/>
            <w:r>
              <w:rPr>
                <w:sz w:val="19"/>
              </w:rPr>
              <w:t>5</w:t>
            </w:r>
          </w:p>
        </w:tc>
      </w:tr>
      <w:tr>
        <w:tc>
          <w:tcPr>
            <w:tcW w:type="dxa" w:w="3744"/>
            <w:shd w:val="clear" w:fill="F2F6F9"/>
          </w:tcPr>
          <w:p>
            <w:pPr>
              <w:spacing w:after="40"/>
            </w:pPr>
            <w:r/>
            <w:r>
              <w:rPr>
                <w:sz w:val="19"/>
              </w:rPr>
              <w:t>Minimum similarity</w:t>
            </w:r>
          </w:p>
        </w:tc>
        <w:tc>
          <w:tcPr>
            <w:tcW w:type="dxa" w:w="5760"/>
            <w:shd w:val="clear" w:fill="F2F6F9"/>
          </w:tcPr>
          <w:p>
            <w:pPr>
              <w:spacing w:after="40"/>
            </w:pPr>
            <w:r/>
            <w:r>
              <w:rPr>
                <w:sz w:val="19"/>
              </w:rPr>
              <w:t>0.6</w:t>
            </w:r>
          </w:p>
        </w:tc>
      </w:tr>
      <w:tr>
        <w:tc>
          <w:tcPr>
            <w:tcW w:type="dxa" w:w="3744"/>
          </w:tcPr>
          <w:p>
            <w:pPr>
              <w:spacing w:after="40"/>
            </w:pPr>
            <w:r/>
            <w:r>
              <w:rPr>
                <w:sz w:val="19"/>
              </w:rPr>
              <w:t>Index capacity</w:t>
            </w:r>
          </w:p>
        </w:tc>
        <w:tc>
          <w:tcPr>
            <w:tcW w:type="dxa" w:w="5760"/>
          </w:tcPr>
          <w:p>
            <w:pPr>
              <w:spacing w:after="40"/>
            </w:pPr>
            <w:r/>
            <w:r>
              <w:rPr>
                <w:sz w:val="19"/>
              </w:rPr>
              <w:t>7,000,000 vectors</w:t>
            </w:r>
          </w:p>
        </w:tc>
      </w:tr>
      <w:tr>
        <w:tc>
          <w:tcPr>
            <w:tcW w:type="dxa" w:w="3744"/>
            <w:shd w:val="clear" w:fill="F2F6F9"/>
          </w:tcPr>
          <w:p>
            <w:pPr>
              <w:spacing w:after="40"/>
            </w:pPr>
            <w:r/>
            <w:r>
              <w:rPr>
                <w:sz w:val="19"/>
              </w:rPr>
              <w:t>Inference device</w:t>
            </w:r>
          </w:p>
        </w:tc>
        <w:tc>
          <w:tcPr>
            <w:tcW w:type="dxa" w:w="5760"/>
            <w:shd w:val="clear" w:fill="F2F6F9"/>
          </w:tcPr>
          <w:p>
            <w:pPr>
              <w:spacing w:after="40"/>
            </w:pPr>
            <w:r/>
            <w:r>
              <w:rPr>
                <w:sz w:val="19"/>
              </w:rPr>
              <w:t>CPU</w:t>
            </w:r>
          </w:p>
        </w:tc>
      </w:tr>
    </w:tbl>
    <w:p>
      <w:pPr>
        <w:spacing w:after="80"/>
      </w:pPr>
    </w:p>
    <w:p>
      <w:pPr>
        <w:pStyle w:val="Heading2"/>
      </w:pPr>
      <w:r>
        <w:t>3.5 Score fusion and verdicts</w:t>
      </w:r>
    </w:p>
    <w:p>
      <w:pPr>
        <w:spacing w:after="120"/>
      </w:pPr>
      <w:r>
        <w:rPr>
          <w:b w:val="0"/>
          <w:i w:val="0"/>
          <w:color w:val="1A1A1A"/>
          <w:sz w:val="21"/>
        </w:rPr>
        <w:t>The Isolation Forest and autoencoder scores are combined into a single 0–1 score, which is then banded into a verdict. Both layers carry equal weight: global rarity and personal deviation are treated as equally meaningful signals.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728"/>
            <w:shd w:val="clear" w:fill="0B6FA4"/>
          </w:tcPr>
          <w:p>
            <w:pPr>
              <w:spacing w:after="40"/>
            </w:pPr>
            <w:r/>
            <w:r>
              <w:rPr>
                <w:b/>
                <w:color w:val="FFFFFF"/>
                <w:sz w:val="19"/>
              </w:rPr>
              <w:t>Band</w:t>
            </w:r>
          </w:p>
        </w:tc>
        <w:tc>
          <w:tcPr>
            <w:tcW w:type="dxa" w:w="2016"/>
            <w:shd w:val="clear" w:fill="0B6FA4"/>
          </w:tcPr>
          <w:p>
            <w:pPr>
              <w:spacing w:after="40"/>
            </w:pPr>
            <w:r/>
            <w:r>
              <w:rPr>
                <w:b/>
                <w:color w:val="FFFFFF"/>
                <w:sz w:val="19"/>
              </w:rPr>
              <w:t>Score range</w:t>
            </w:r>
          </w:p>
        </w:tc>
        <w:tc>
          <w:tcPr>
            <w:tcW w:type="dxa" w:w="3168"/>
            <w:shd w:val="clear" w:fill="0B6FA4"/>
          </w:tcPr>
          <w:p>
            <w:pPr>
              <w:spacing w:after="40"/>
            </w:pPr>
            <w:r/>
            <w:r>
              <w:rPr>
                <w:b/>
                <w:color w:val="FFFFFF"/>
                <w:sz w:val="19"/>
              </w:rPr>
              <w:t>Verdict</w:t>
            </w:r>
          </w:p>
        </w:tc>
        <w:tc>
          <w:tcPr>
            <w:tcW w:type="dxa" w:w="2592"/>
            <w:shd w:val="clear" w:fill="0B6FA4"/>
          </w:tcPr>
          <w:p>
            <w:pPr>
              <w:spacing w:after="40"/>
            </w:pPr>
            <w:r/>
            <w:r>
              <w:rPr>
                <w:b/>
                <w:color w:val="FFFFFF"/>
                <w:sz w:val="19"/>
              </w:rPr>
              <w:t>Confidence</w:t>
            </w:r>
          </w:p>
        </w:tc>
      </w:tr>
      <w:tr>
        <w:tc>
          <w:tcPr>
            <w:tcW w:type="dxa" w:w="1728"/>
          </w:tcPr>
          <w:p>
            <w:pPr>
              <w:spacing w:after="40"/>
            </w:pPr>
            <w:r/>
            <w:r>
              <w:rPr>
                <w:sz w:val="19"/>
              </w:rPr>
              <w:t>Below threshold</w:t>
            </w:r>
          </w:p>
        </w:tc>
        <w:tc>
          <w:tcPr>
            <w:tcW w:type="dxa" w:w="2016"/>
          </w:tcPr>
          <w:p>
            <w:pPr>
              <w:spacing w:after="40"/>
            </w:pPr>
            <w:r/>
            <w:r>
              <w:rPr>
                <w:sz w:val="19"/>
              </w:rPr>
              <w:t>&lt; 0.75</w:t>
            </w:r>
          </w:p>
        </w:tc>
        <w:tc>
          <w:tcPr>
            <w:tcW w:type="dxa" w:w="3168"/>
          </w:tcPr>
          <w:p>
            <w:pPr>
              <w:spacing w:after="40"/>
            </w:pPr>
            <w:r/>
            <w:r>
              <w:rPr>
                <w:sz w:val="19"/>
              </w:rPr>
              <w:t>Not alerted — discarded</w:t>
            </w:r>
          </w:p>
        </w:tc>
        <w:tc>
          <w:tcPr>
            <w:tcW w:type="dxa" w:w="2592"/>
          </w:tcPr>
          <w:p>
            <w:pPr>
              <w:spacing w:after="40"/>
            </w:pPr>
            <w:r/>
            <w:r>
              <w:rPr>
                <w:sz w:val="19"/>
              </w:rPr>
              <w:t>—</w:t>
            </w:r>
          </w:p>
        </w:tc>
      </w:tr>
      <w:tr>
        <w:tc>
          <w:tcPr>
            <w:tcW w:type="dxa" w:w="1728"/>
            <w:shd w:val="clear" w:fill="F2F6F9"/>
          </w:tcPr>
          <w:p>
            <w:pPr>
              <w:spacing w:after="40"/>
            </w:pPr>
            <w:r/>
            <w:r>
              <w:rPr>
                <w:sz w:val="19"/>
              </w:rPr>
              <w:t>1</w:t>
            </w:r>
          </w:p>
        </w:tc>
        <w:tc>
          <w:tcPr>
            <w:tcW w:type="dxa" w:w="2016"/>
            <w:shd w:val="clear" w:fill="F2F6F9"/>
          </w:tcPr>
          <w:p>
            <w:pPr>
              <w:spacing w:after="40"/>
            </w:pPr>
            <w:r/>
            <w:r>
              <w:rPr>
                <w:sz w:val="19"/>
              </w:rPr>
              <w:t>0.75 – 0.85</w:t>
            </w:r>
          </w:p>
        </w:tc>
        <w:tc>
          <w:tcPr>
            <w:tcW w:type="dxa" w:w="3168"/>
            <w:shd w:val="clear" w:fill="F2F6F9"/>
          </w:tcPr>
          <w:p>
            <w:pPr>
              <w:spacing w:after="40"/>
            </w:pPr>
            <w:r/>
            <w:r>
              <w:rPr>
                <w:sz w:val="19"/>
              </w:rPr>
              <w:t>Suspicious</w:t>
            </w:r>
          </w:p>
        </w:tc>
        <w:tc>
          <w:tcPr>
            <w:tcW w:type="dxa" w:w="2592"/>
            <w:shd w:val="clear" w:fill="F2F6F9"/>
          </w:tcPr>
          <w:p>
            <w:pPr>
              <w:spacing w:after="40"/>
            </w:pPr>
            <w:r/>
            <w:r>
              <w:rPr>
                <w:sz w:val="19"/>
              </w:rPr>
              <w:t>Low</w:t>
            </w:r>
          </w:p>
        </w:tc>
      </w:tr>
      <w:tr>
        <w:tc>
          <w:tcPr>
            <w:tcW w:type="dxa" w:w="1728"/>
          </w:tcPr>
          <w:p>
            <w:pPr>
              <w:spacing w:after="40"/>
            </w:pPr>
            <w:r/>
            <w:r>
              <w:rPr>
                <w:sz w:val="19"/>
              </w:rPr>
              <w:t>2</w:t>
            </w:r>
          </w:p>
        </w:tc>
        <w:tc>
          <w:tcPr>
            <w:tcW w:type="dxa" w:w="2016"/>
          </w:tcPr>
          <w:p>
            <w:pPr>
              <w:spacing w:after="40"/>
            </w:pPr>
            <w:r/>
            <w:r>
              <w:rPr>
                <w:sz w:val="19"/>
              </w:rPr>
              <w:t>0.85 – 0.93</w:t>
            </w:r>
          </w:p>
        </w:tc>
        <w:tc>
          <w:tcPr>
            <w:tcW w:type="dxa" w:w="3168"/>
          </w:tcPr>
          <w:p>
            <w:pPr>
              <w:spacing w:after="40"/>
            </w:pPr>
            <w:r/>
            <w:r>
              <w:rPr>
                <w:sz w:val="19"/>
              </w:rPr>
              <w:t>Anomalous</w:t>
            </w:r>
          </w:p>
        </w:tc>
        <w:tc>
          <w:tcPr>
            <w:tcW w:type="dxa" w:w="2592"/>
          </w:tcPr>
          <w:p>
            <w:pPr>
              <w:spacing w:after="40"/>
            </w:pPr>
            <w:r/>
            <w:r>
              <w:rPr>
                <w:sz w:val="19"/>
              </w:rPr>
              <w:t>Medium</w:t>
            </w:r>
          </w:p>
        </w:tc>
      </w:tr>
      <w:tr>
        <w:tc>
          <w:tcPr>
            <w:tcW w:type="dxa" w:w="1728"/>
            <w:shd w:val="clear" w:fill="F2F6F9"/>
          </w:tcPr>
          <w:p>
            <w:pPr>
              <w:spacing w:after="40"/>
            </w:pPr>
            <w:r/>
            <w:r>
              <w:rPr>
                <w:sz w:val="19"/>
              </w:rPr>
              <w:t>3</w:t>
            </w:r>
          </w:p>
        </w:tc>
        <w:tc>
          <w:tcPr>
            <w:tcW w:type="dxa" w:w="2016"/>
            <w:shd w:val="clear" w:fill="F2F6F9"/>
          </w:tcPr>
          <w:p>
            <w:pPr>
              <w:spacing w:after="40"/>
            </w:pPr>
            <w:r/>
            <w:r>
              <w:rPr>
                <w:sz w:val="19"/>
              </w:rPr>
              <w:t>0.93 – 1.00</w:t>
            </w:r>
          </w:p>
        </w:tc>
        <w:tc>
          <w:tcPr>
            <w:tcW w:type="dxa" w:w="3168"/>
            <w:shd w:val="clear" w:fill="F2F6F9"/>
          </w:tcPr>
          <w:p>
            <w:pPr>
              <w:spacing w:after="40"/>
            </w:pPr>
            <w:r/>
            <w:r>
              <w:rPr>
                <w:sz w:val="19"/>
              </w:rPr>
              <w:t>Highly anomalous</w:t>
            </w:r>
          </w:p>
        </w:tc>
        <w:tc>
          <w:tcPr>
            <w:tcW w:type="dxa" w:w="2592"/>
            <w:shd w:val="clear" w:fill="F2F6F9"/>
          </w:tcPr>
          <w:p>
            <w:pPr>
              <w:spacing w:after="40"/>
            </w:pPr>
            <w:r/>
            <w:r>
              <w:rPr>
                <w:sz w:val="19"/>
              </w:rPr>
              <w:t>High</w:t>
            </w:r>
          </w:p>
        </w:tc>
      </w:tr>
    </w:tbl>
    <w:p>
      <w:pPr>
        <w:spacing w:after="80"/>
      </w:pPr>
    </w:p>
    <w:p>
      <w:pPr>
        <w:spacing w:after="240"/>
      </w:pPr>
      <w:r>
        <w:rPr>
          <w:b w:val="0"/>
          <w:i/>
          <w:color w:val="5B6B7A"/>
          <w:sz w:val="18"/>
        </w:rPr>
        <w:t>Table 3.5 — Alert threshold and verdict bands. All values are configurable per deployment.</w:t>
      </w:r>
    </w:p>
    <w:p>
      <w:r>
        <w:br w:type="page"/>
      </w:r>
    </w:p>
    <w:p>
      <w:pPr>
        <w:pStyle w:val="Heading1"/>
      </w:pPr>
      <w:r>
        <w:t>4. Feature Engineering</w:t>
      </w:r>
    </w:p>
    <w:p>
      <w:pPr>
        <w:spacing w:after="120"/>
      </w:pPr>
      <w:r>
        <w:rPr>
          <w:b w:val="0"/>
          <w:i w:val="0"/>
          <w:color w:val="1A1A1A"/>
          <w:sz w:val="21"/>
        </w:rPr>
        <w:t>Every event is reduced to a 35-dimension numeric feature vector before it reaches any model. The feature set spans temporal behaviour, identity and access, network characteristics, rule and severity context, and enrichment signals such as threat-intelligence matches and geographic origin.</w:t>
      </w:r>
    </w:p>
    <w:p>
      <w:pPr>
        <w:pStyle w:val="Heading2"/>
      </w:pPr>
      <w:r>
        <w:t>4.1 Entity resolution</w:t>
      </w:r>
    </w:p>
    <w:p>
      <w:pPr>
        <w:spacing w:after="120"/>
      </w:pPr>
      <w:r>
        <w:rPr>
          <w:b w:val="0"/>
          <w:i w:val="0"/>
          <w:color w:val="1A1A1A"/>
          <w:sz w:val="21"/>
        </w:rPr>
        <w:t>Feature extraction resolves each event to a single canonical entity. Where a username is present it is normalised through an identity-resolution map so that aliases for the same human converge on one baseline. Where no user can be attributed — firewall and network telemetry, for example — the event is keyed to the host or source address instead of being discarded or collapsed into a single unattributed bucket, which would poison that bucket's baseline.</w:t>
      </w:r>
    </w:p>
    <w:p>
      <w:pPr>
        <w:pStyle w:val="Heading2"/>
      </w:pPr>
      <w:r>
        <w:t>4.2 Noise suppression</w:t>
      </w:r>
    </w:p>
    <w:p>
      <w:pPr>
        <w:spacing w:after="120"/>
      </w:pPr>
      <w:r>
        <w:rPr>
          <w:b w:val="0"/>
          <w:i w:val="0"/>
          <w:color w:val="1A1A1A"/>
          <w:sz w:val="21"/>
        </w:rPr>
        <w:t>Before scoring, configurable suppression removes classes of event that are known to be operationally uninteresting in a given estate: specific rule identifiers, zero-risk internal network chatter, IPv6 multicast, nominated source addresses, and hostnames that would otherwise be mistaken for user accounts. Suppression is applied at ingestion so that noise never enters a behavioural baseline in the first place.</w:t>
      </w:r>
    </w:p>
    <w:p>
      <w:r>
        <w:br w:type="page"/>
      </w:r>
    </w:p>
    <w:p>
      <w:pPr>
        <w:pStyle w:val="Heading1"/>
      </w:pPr>
      <w:r>
        <w:t>5. Analyst Capabilities</w:t>
      </w:r>
    </w:p>
    <w:p>
      <w:pPr>
        <w:pStyle w:val="Heading2"/>
      </w:pPr>
      <w:r>
        <w:t>5.1 Investigation console</w:t>
      </w:r>
    </w:p>
    <w:p>
      <w:pPr>
        <w:pStyle w:val="ListBullet"/>
        <w:spacing w:after="60"/>
      </w:pPr>
      <w:r>
        <w:rPr>
          <w:b/>
          <w:sz w:val="21"/>
        </w:rPr>
        <w:t xml:space="preserve">Alert feed. </w:t>
      </w:r>
      <w:r>
        <w:rPr>
          <w:sz w:val="21"/>
        </w:rPr>
        <w:t>Filterable by free text, MITRE ATT&amp;CK tactic, severity threshold, verdict and timeline window, with per-alert evidence loaded on demand.</w:t>
      </w:r>
    </w:p>
    <w:p>
      <w:pPr>
        <w:pStyle w:val="ListBullet"/>
        <w:spacing w:after="60"/>
      </w:pPr>
      <w:r>
        <w:rPr>
          <w:b/>
          <w:sz w:val="21"/>
        </w:rPr>
        <w:t xml:space="preserve">Evidence panel. </w:t>
      </w:r>
      <w:r>
        <w:rPr>
          <w:sz w:val="21"/>
        </w:rPr>
        <w:t>Per-alert reconstruction of why the alert fired: model scores against thresholds, contributing anomaly reasons, the entity's baseline for comparison, and similar historical events.</w:t>
      </w:r>
    </w:p>
    <w:p>
      <w:pPr>
        <w:pStyle w:val="ListBullet"/>
        <w:spacing w:after="60"/>
      </w:pPr>
      <w:r>
        <w:rPr>
          <w:b/>
          <w:sz w:val="21"/>
        </w:rPr>
        <w:t xml:space="preserve">Entity and endpoint views. </w:t>
      </w:r>
      <w:r>
        <w:rPr>
          <w:sz w:val="21"/>
        </w:rPr>
        <w:t>Risk-ranked entities and monitored endpoints, each drillable to the underlying activity.</w:t>
      </w:r>
    </w:p>
    <w:p>
      <w:pPr>
        <w:pStyle w:val="ListBullet"/>
        <w:spacing w:after="60"/>
      </w:pPr>
      <w:r>
        <w:rPr>
          <w:b/>
          <w:sz w:val="21"/>
        </w:rPr>
        <w:t xml:space="preserve">Campaign view. </w:t>
      </w:r>
      <w:r>
        <w:rPr>
          <w:sz w:val="21"/>
        </w:rPr>
        <w:t>Correlated clusters of related anomalies, triageable as a single unit.</w:t>
      </w:r>
    </w:p>
    <w:p>
      <w:pPr>
        <w:pStyle w:val="ListBullet"/>
        <w:spacing w:after="60"/>
      </w:pPr>
      <w:r>
        <w:rPr>
          <w:b/>
          <w:sz w:val="21"/>
        </w:rPr>
        <w:t xml:space="preserve">Incident rollups. </w:t>
      </w:r>
      <w:r>
        <w:rPr>
          <w:sz w:val="21"/>
        </w:rPr>
        <w:t>Time-bounded groupings for shift-level review.</w:t>
      </w:r>
    </w:p>
    <w:p>
      <w:pPr>
        <w:pStyle w:val="ListBullet"/>
        <w:spacing w:after="60"/>
      </w:pPr>
      <w:r>
        <w:rPr>
          <w:b/>
          <w:sz w:val="21"/>
        </w:rPr>
        <w:t xml:space="preserve">Live threat map. </w:t>
      </w:r>
      <w:r>
        <w:rPr>
          <w:sz w:val="21"/>
        </w:rPr>
        <w:t>Geolocated external-to-datacentre traffic derived from firewall telemetry, resolved against a local offline geolocation database.</w:t>
      </w:r>
    </w:p>
    <w:p>
      <w:pPr>
        <w:pStyle w:val="Heading2"/>
      </w:pPr>
      <w:r>
        <w:t>5.2 False-positive control</w:t>
      </w:r>
    </w:p>
    <w:p>
      <w:pPr>
        <w:spacing w:after="120"/>
      </w:pPr>
      <w:r>
        <w:rPr>
          <w:b w:val="0"/>
          <w:i w:val="0"/>
          <w:color w:val="1A1A1A"/>
          <w:sz w:val="21"/>
        </w:rPr>
        <w:t>Analysts can mark an individual alert as a false positive, or create a suppression pattern that automatically filters future alerts matching the same fingerprint. Suppression applies only to alerts received after the pattern was created; historical alerts remain visible so that the record is not rewritten retrospectively. The engine reloads patterns on change, so a suppression takes effect on the next event without a restart.</w:t>
      </w:r>
    </w:p>
    <w:p>
      <w:pPr>
        <w:pStyle w:val="Heading2"/>
      </w:pPr>
      <w:r>
        <w:t>5.3 Watch lists</w:t>
      </w:r>
    </w:p>
    <w:p>
      <w:pPr>
        <w:spacing w:after="120"/>
      </w:pPr>
      <w:r>
        <w:rPr>
          <w:b w:val="0"/>
          <w:i w:val="0"/>
          <w:color w:val="1A1A1A"/>
          <w:sz w:val="21"/>
        </w:rPr>
        <w:t>Named users, hosts or addresses can be placed under elevated scrutiny. A watched entity receives a small additive boost to its anomaly score, applied before the alert threshold is evaluated, so that borderline activity surfaces and genuinely anomalous activity escalates a band. The boost is deliberately small: a value large enough to alert on everything an entity does would be muted by analysts within a day. Alerts raised with a watch-list contribution record both the final score and the unboosted model score, so the contribution is always visible and auditable.</w:t>
      </w:r>
    </w:p>
    <w:p>
      <w:pPr>
        <w:pStyle w:val="Heading2"/>
      </w:pPr>
      <w:r>
        <w:t>5.4 Reporting</w:t>
      </w:r>
    </w:p>
    <w:p>
      <w:pPr>
        <w:spacing w:after="120"/>
      </w:pPr>
      <w:r>
        <w:rPr>
          <w:b w:val="0"/>
          <w:i w:val="0"/>
          <w:color w:val="1A1A1A"/>
          <w:sz w:val="21"/>
        </w:rPr>
        <w:t>The platform includes four out-of-the-box reports — analyst investigation, administration and management, audit and compliance, and a threat report for a specified period — together with a custom report builder, periodic scheduling and optional email delivery.</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592"/>
            <w:shd w:val="clear" w:fill="0B6FA4"/>
          </w:tcPr>
          <w:p>
            <w:pPr>
              <w:spacing w:after="40"/>
            </w:pPr>
            <w:r/>
            <w:r>
              <w:rPr>
                <w:b/>
                <w:color w:val="FFFFFF"/>
                <w:sz w:val="19"/>
              </w:rPr>
              <w:t>Capability</w:t>
            </w:r>
          </w:p>
        </w:tc>
        <w:tc>
          <w:tcPr>
            <w:tcW w:type="dxa" w:w="6912"/>
            <w:shd w:val="clear" w:fill="0B6FA4"/>
          </w:tcPr>
          <w:p>
            <w:pPr>
              <w:spacing w:after="40"/>
            </w:pPr>
            <w:r/>
            <w:r>
              <w:rPr>
                <w:b/>
                <w:color w:val="FFFFFF"/>
                <w:sz w:val="19"/>
              </w:rPr>
              <w:t>Detail</w:t>
            </w:r>
          </w:p>
        </w:tc>
      </w:tr>
      <w:tr>
        <w:tc>
          <w:tcPr>
            <w:tcW w:type="dxa" w:w="2592"/>
          </w:tcPr>
          <w:p>
            <w:pPr>
              <w:spacing w:after="40"/>
            </w:pPr>
            <w:r/>
            <w:r>
              <w:rPr>
                <w:sz w:val="19"/>
              </w:rPr>
              <w:t>Output formats</w:t>
            </w:r>
          </w:p>
        </w:tc>
        <w:tc>
          <w:tcPr>
            <w:tcW w:type="dxa" w:w="6912"/>
          </w:tcPr>
          <w:p>
            <w:pPr>
              <w:spacing w:after="40"/>
            </w:pPr>
            <w:r/>
            <w:r>
              <w:rPr>
                <w:sz w:val="19"/>
              </w:rPr>
              <w:t>PDF, Excel (XLSX), CSV, HTML, JSON, XML</w:t>
            </w:r>
          </w:p>
        </w:tc>
      </w:tr>
      <w:tr>
        <w:tc>
          <w:tcPr>
            <w:tcW w:type="dxa" w:w="2592"/>
            <w:shd w:val="clear" w:fill="F2F6F9"/>
          </w:tcPr>
          <w:p>
            <w:pPr>
              <w:spacing w:after="40"/>
            </w:pPr>
            <w:r/>
            <w:r>
              <w:rPr>
                <w:sz w:val="19"/>
              </w:rPr>
              <w:t>Custom reports</w:t>
            </w:r>
          </w:p>
        </w:tc>
        <w:tc>
          <w:tcPr>
            <w:tcW w:type="dxa" w:w="6912"/>
            <w:shd w:val="clear" w:fill="F2F6F9"/>
          </w:tcPr>
          <w:p>
            <w:pPr>
              <w:spacing w:after="40"/>
            </w:pPr>
            <w:r/>
            <w:r>
              <w:rPr>
                <w:sz w:val="19"/>
              </w:rPr>
              <w:t>Composed from the same catalogue of 20 sections the built-in reports use</w:t>
            </w:r>
          </w:p>
        </w:tc>
      </w:tr>
      <w:tr>
        <w:tc>
          <w:tcPr>
            <w:tcW w:type="dxa" w:w="2592"/>
          </w:tcPr>
          <w:p>
            <w:pPr>
              <w:spacing w:after="40"/>
            </w:pPr>
            <w:r/>
            <w:r>
              <w:rPr>
                <w:sz w:val="19"/>
              </w:rPr>
              <w:t>Scheduling</w:t>
            </w:r>
          </w:p>
        </w:tc>
        <w:tc>
          <w:tcPr>
            <w:tcW w:type="dxa" w:w="6912"/>
          </w:tcPr>
          <w:p>
            <w:pPr>
              <w:spacing w:after="40"/>
            </w:pPr>
            <w:r/>
            <w:r>
              <w:rPr>
                <w:sz w:val="19"/>
              </w:rPr>
              <w:t>Hourly, daily, weekly or monthly, at a nominated local time</w:t>
            </w:r>
          </w:p>
        </w:tc>
      </w:tr>
      <w:tr>
        <w:tc>
          <w:tcPr>
            <w:tcW w:type="dxa" w:w="2592"/>
            <w:shd w:val="clear" w:fill="F2F6F9"/>
          </w:tcPr>
          <w:p>
            <w:pPr>
              <w:spacing w:after="40"/>
            </w:pPr>
            <w:r/>
            <w:r>
              <w:rPr>
                <w:sz w:val="19"/>
              </w:rPr>
              <w:t>Delivery</w:t>
            </w:r>
          </w:p>
        </w:tc>
        <w:tc>
          <w:tcPr>
            <w:tcW w:type="dxa" w:w="6912"/>
            <w:shd w:val="clear" w:fill="F2F6F9"/>
          </w:tcPr>
          <w:p>
            <w:pPr>
              <w:spacing w:after="40"/>
            </w:pPr>
            <w:r/>
            <w:r>
              <w:rPr>
                <w:sz w:val="19"/>
              </w:rPr>
              <w:t>Download from the console, or email with the report attached</w:t>
            </w:r>
          </w:p>
        </w:tc>
      </w:tr>
      <w:tr>
        <w:tc>
          <w:tcPr>
            <w:tcW w:type="dxa" w:w="2592"/>
          </w:tcPr>
          <w:p>
            <w:pPr>
              <w:spacing w:after="40"/>
            </w:pPr>
            <w:r/>
            <w:r>
              <w:rPr>
                <w:sz w:val="19"/>
              </w:rPr>
              <w:t>Retention</w:t>
            </w:r>
          </w:p>
        </w:tc>
        <w:tc>
          <w:tcPr>
            <w:tcW w:type="dxa" w:w="6912"/>
          </w:tcPr>
          <w:p>
            <w:pPr>
              <w:spacing w:after="40"/>
            </w:pPr>
            <w:r/>
            <w:r>
              <w:rPr>
                <w:sz w:val="19"/>
              </w:rPr>
              <w:t>Generated reports are indexed, re-downloadable and convertible to other formats without re-running the report</w:t>
            </w:r>
          </w:p>
        </w:tc>
      </w:tr>
    </w:tbl>
    <w:p>
      <w:pPr>
        <w:spacing w:after="80"/>
      </w:pPr>
    </w:p>
    <w:p>
      <w:r>
        <w:br w:type="page"/>
      </w:r>
    </w:p>
    <w:p>
      <w:pPr>
        <w:pStyle w:val="Heading1"/>
      </w:pPr>
      <w:r>
        <w:t>6. Model Lifecycle</w:t>
      </w:r>
    </w:p>
    <w:p>
      <w:pPr>
        <w:pStyle w:val="Heading2"/>
      </w:pPr>
      <w:r>
        <w:t>6.1 Why models are not pre-shipped</w:t>
      </w:r>
    </w:p>
    <w:p>
      <w:pPr>
        <w:spacing w:after="120"/>
      </w:pPr>
      <w:r>
        <w:rPr>
          <w:b w:val="0"/>
          <w:i w:val="0"/>
          <w:color w:val="1A1A1A"/>
          <w:sz w:val="21"/>
        </w:rPr>
        <w:t>Each per-entity autoencoder is keyed to a specific account, and the scaler, thresholds and Isolation Forest are all fitted to one estate's score distribution. A model trained on one organisation's population encodes that organisation's working patterns and is actively misleading elsewhere. A new installation therefore begins with no models and requires a period of observation before it produces meaningful alerts. The engine will not start without trained models, by design, rather than emitting scores it cannot justify.</w:t>
      </w:r>
    </w:p>
    <w:p>
      <w:pPr>
        <w:pStyle w:val="Heading2"/>
      </w:pPr>
      <w:r>
        <w:t>6.2 Continuous retraining</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304"/>
            <w:shd w:val="clear" w:fill="0B6FA4"/>
          </w:tcPr>
          <w:p>
            <w:pPr>
              <w:spacing w:after="40"/>
            </w:pPr>
            <w:r/>
            <w:r>
              <w:rPr>
                <w:b/>
                <w:color w:val="FFFFFF"/>
                <w:sz w:val="19"/>
              </w:rPr>
              <w:t>Stage</w:t>
            </w:r>
          </w:p>
        </w:tc>
        <w:tc>
          <w:tcPr>
            <w:tcW w:type="dxa" w:w="7200"/>
            <w:shd w:val="clear" w:fill="0B6FA4"/>
          </w:tcPr>
          <w:p>
            <w:pPr>
              <w:spacing w:after="40"/>
            </w:pPr>
            <w:r/>
            <w:r>
              <w:rPr>
                <w:b/>
                <w:color w:val="FFFFFF"/>
                <w:sz w:val="19"/>
              </w:rPr>
              <w:t>Action</w:t>
            </w:r>
          </w:p>
        </w:tc>
      </w:tr>
      <w:tr>
        <w:tc>
          <w:tcPr>
            <w:tcW w:type="dxa" w:w="2304"/>
          </w:tcPr>
          <w:p>
            <w:pPr>
              <w:spacing w:after="40"/>
            </w:pPr>
            <w:r/>
            <w:r>
              <w:rPr>
                <w:sz w:val="19"/>
              </w:rPr>
              <w:t>Corpus maintenance</w:t>
            </w:r>
          </w:p>
        </w:tc>
        <w:tc>
          <w:tcPr>
            <w:tcW w:type="dxa" w:w="7200"/>
          </w:tcPr>
          <w:p>
            <w:pPr>
              <w:spacing w:after="40"/>
            </w:pPr>
            <w:r/>
            <w:r>
              <w:rPr>
                <w:sz w:val="19"/>
              </w:rPr>
              <w:t>The training corpus is pruned to a rolling retention window before each cycle, so behaviour from the distant past does not anchor the current baseline.</w:t>
            </w:r>
          </w:p>
        </w:tc>
      </w:tr>
      <w:tr>
        <w:tc>
          <w:tcPr>
            <w:tcW w:type="dxa" w:w="2304"/>
            <w:shd w:val="clear" w:fill="F2F6F9"/>
          </w:tcPr>
          <w:p>
            <w:pPr>
              <w:spacing w:after="40"/>
            </w:pPr>
            <w:r/>
            <w:r>
              <w:rPr>
                <w:sz w:val="19"/>
              </w:rPr>
              <w:t>Feature preparation</w:t>
            </w:r>
          </w:p>
        </w:tc>
        <w:tc>
          <w:tcPr>
            <w:tcW w:type="dxa" w:w="7200"/>
            <w:shd w:val="clear" w:fill="F2F6F9"/>
          </w:tcPr>
          <w:p>
            <w:pPr>
              <w:spacing w:after="40"/>
            </w:pPr>
            <w:r/>
            <w:r>
              <w:rPr>
                <w:sz w:val="19"/>
              </w:rPr>
              <w:t>Events are projected to feature vectors and stored in a columnar dataset for efficient batch training.</w:t>
            </w:r>
          </w:p>
        </w:tc>
      </w:tr>
      <w:tr>
        <w:tc>
          <w:tcPr>
            <w:tcW w:type="dxa" w:w="2304"/>
          </w:tcPr>
          <w:p>
            <w:pPr>
              <w:spacing w:after="40"/>
            </w:pPr>
            <w:r/>
            <w:r>
              <w:rPr>
                <w:sz w:val="19"/>
              </w:rPr>
              <w:t>Global model</w:t>
            </w:r>
          </w:p>
        </w:tc>
        <w:tc>
          <w:tcPr>
            <w:tcW w:type="dxa" w:w="7200"/>
          </w:tcPr>
          <w:p>
            <w:pPr>
              <w:spacing w:after="40"/>
            </w:pPr>
            <w:r/>
            <w:r>
              <w:rPr>
                <w:sz w:val="19"/>
              </w:rPr>
              <w:t>The Isolation Forest and scaler are refitted on a representative sample of the estate.</w:t>
            </w:r>
          </w:p>
        </w:tc>
      </w:tr>
      <w:tr>
        <w:tc>
          <w:tcPr>
            <w:tcW w:type="dxa" w:w="2304"/>
            <w:shd w:val="clear" w:fill="F2F6F9"/>
          </w:tcPr>
          <w:p>
            <w:pPr>
              <w:spacing w:after="40"/>
            </w:pPr>
            <w:r/>
            <w:r>
              <w:rPr>
                <w:sz w:val="19"/>
              </w:rPr>
              <w:t>Entity models</w:t>
            </w:r>
          </w:p>
        </w:tc>
        <w:tc>
          <w:tcPr>
            <w:tcW w:type="dxa" w:w="7200"/>
            <w:shd w:val="clear" w:fill="F2F6F9"/>
          </w:tcPr>
          <w:p>
            <w:pPr>
              <w:spacing w:after="40"/>
            </w:pPr>
            <w:r/>
            <w:r>
              <w:rPr>
                <w:sz w:val="19"/>
              </w:rPr>
              <w:t>Per-entity autoencoders are retrained for entities meeting the minimum activity threshold; the global fallback is refitted.</w:t>
            </w:r>
          </w:p>
        </w:tc>
      </w:tr>
      <w:tr>
        <w:tc>
          <w:tcPr>
            <w:tcW w:type="dxa" w:w="2304"/>
          </w:tcPr>
          <w:p>
            <w:pPr>
              <w:spacing w:after="40"/>
            </w:pPr>
            <w:r/>
            <w:r>
              <w:rPr>
                <w:sz w:val="19"/>
              </w:rPr>
              <w:t>Threshold calibration</w:t>
            </w:r>
          </w:p>
        </w:tc>
        <w:tc>
          <w:tcPr>
            <w:tcW w:type="dxa" w:w="7200"/>
          </w:tcPr>
          <w:p>
            <w:pPr>
              <w:spacing w:after="40"/>
            </w:pPr>
            <w:r/>
            <w:r>
              <w:rPr>
                <w:sz w:val="19"/>
              </w:rPr>
              <w:t>Per-entity anomaly thresholds are recalculated at the configured percentile of each entity's own reconstruction error.</w:t>
            </w:r>
          </w:p>
        </w:tc>
      </w:tr>
      <w:tr>
        <w:tc>
          <w:tcPr>
            <w:tcW w:type="dxa" w:w="2304"/>
            <w:shd w:val="clear" w:fill="F2F6F9"/>
          </w:tcPr>
          <w:p>
            <w:pPr>
              <w:spacing w:after="40"/>
            </w:pPr>
            <w:r/>
            <w:r>
              <w:rPr>
                <w:sz w:val="19"/>
              </w:rPr>
              <w:t>Validation</w:t>
            </w:r>
          </w:p>
        </w:tc>
        <w:tc>
          <w:tcPr>
            <w:tcW w:type="dxa" w:w="7200"/>
            <w:shd w:val="clear" w:fill="F2F6F9"/>
          </w:tcPr>
          <w:p>
            <w:pPr>
              <w:spacing w:after="40"/>
            </w:pPr>
            <w:r/>
            <w:r>
              <w:rPr>
                <w:sz w:val="19"/>
              </w:rPr>
              <w:t>Refitted models are validated before they are promoted.</w:t>
            </w:r>
          </w:p>
        </w:tc>
      </w:tr>
    </w:tbl>
    <w:p>
      <w:pPr>
        <w:spacing w:after="80"/>
      </w:pPr>
    </w:p>
    <w:p>
      <w:pPr>
        <w:spacing w:after="240"/>
      </w:pPr>
      <w:r>
        <w:rPr>
          <w:b w:val="0"/>
          <w:i/>
          <w:color w:val="5B6B7A"/>
          <w:sz w:val="18"/>
        </w:rPr>
        <w:t>Table 6.2 — Retraining runs on a scheduled cycle and is idempotent; a failed cycle leaves the previous models in service.</w:t>
      </w:r>
    </w:p>
    <w:p>
      <w:r>
        <w:br w:type="page"/>
      </w:r>
    </w:p>
    <w:p>
      <w:pPr>
        <w:pStyle w:val="Heading1"/>
      </w:pPr>
      <w:r>
        <w:t>7. Security, Access Control and Governance</w:t>
      </w:r>
    </w:p>
    <w:p>
      <w:pPr>
        <w:pStyle w:val="Heading2"/>
      </w:pPr>
      <w:r>
        <w:t>7.1 Authentication</w:t>
      </w:r>
    </w:p>
    <w:p>
      <w:pPr>
        <w:spacing w:after="120"/>
      </w:pPr>
      <w:r>
        <w:rPr>
          <w:b w:val="0"/>
          <w:i w:val="0"/>
          <w:color w:val="1A1A1A"/>
          <w:sz w:val="21"/>
        </w:rPr>
        <w:t>The console supports single sign-on through signed JSON Web Tokens issued by the client's identity provider or SIEM. Token signature, audience, issuer and expiry are verified on every exchange, and a short-lived session cookie is issued on success. Three roles are defined — viewer, analyst and administrator — with role claims carried in the assertion.</w:t>
      </w:r>
    </w:p>
    <w:p>
      <w:pPr>
        <w:pStyle w:val="Heading2"/>
      </w:pPr>
      <w:r>
        <w:t>7.2 Audit trail</w:t>
      </w:r>
    </w:p>
    <w:p>
      <w:pPr>
        <w:spacing w:after="120"/>
      </w:pPr>
      <w:r>
        <w:rPr>
          <w:b w:val="0"/>
          <w:i w:val="0"/>
          <w:color w:val="1A1A1A"/>
          <w:sz w:val="21"/>
        </w:rPr>
        <w:t>Every state-changing action taken inside the platform is recorded to an append-only audit log: the actor, the action, the target, the source address, the outcome and the timestamp. Rejected attempts are recorded alongside successful ones, because a refused action is frequently the more interesting record. Request bodies are deliberately not captured wholesale — only an explicit allow-list of non-sensitive fields — so that the audit trail cannot accumulate credentials. The log self-rotates and is exposed to the audit and compliance report.</w:t>
      </w:r>
    </w:p>
    <w:p>
      <w:pPr>
        <w:pStyle w:val="Heading2"/>
      </w:pPr>
      <w:r>
        <w:t>7.3 Data sovereignty</w:t>
      </w:r>
    </w:p>
    <w:p>
      <w:pPr>
        <w:spacing w:after="120"/>
      </w:pPr>
      <w:r>
        <w:rPr>
          <w:b w:val="0"/>
          <w:i w:val="0"/>
          <w:color w:val="1A1A1A"/>
          <w:sz w:val="21"/>
        </w:rPr>
        <w:t>In the deployed configuration the platform makes no outbound connection to any third-party service. Geolocation is resolved against a local offline database. The optional AI-assisted analysis feature, which would require an external model provider, is disabled by default and must not be enabled on a client installation without written approval, as it would constitute egress of event-derived content beyond the client perimeter.</w:t>
      </w:r>
    </w:p>
    <w:p>
      <w:r>
        <w:br w:type="page"/>
      </w:r>
    </w:p>
    <w:p>
      <w:pPr>
        <w:pStyle w:val="Heading1"/>
      </w:pPr>
      <w:r>
        <w:t>8. Technology Stack</w:t>
      </w:r>
    </w:p>
    <w:p>
      <w:pPr>
        <w:spacing w:after="120"/>
      </w:pPr>
      <w:r>
        <w:rPr>
          <w:b w:val="0"/>
          <w:i/>
          <w:color w:val="5B6B7A"/>
          <w:sz w:val="20"/>
        </w:rPr>
        <w:t>All versions below are those in service in the reference deployment.</w:t>
      </w:r>
    </w:p>
    <w:p>
      <w:pPr>
        <w:pStyle w:val="Heading2"/>
      </w:pPr>
      <w:r>
        <w:t>8.1 Platform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92"/>
            <w:shd w:val="clear" w:fill="0B6FA4"/>
          </w:tcPr>
          <w:p>
            <w:pPr>
              <w:spacing w:after="40"/>
            </w:pPr>
            <w:r/>
            <w:r>
              <w:rPr>
                <w:b/>
                <w:color w:val="FFFFFF"/>
                <w:sz w:val="19"/>
              </w:rPr>
              <w:t>Layer</w:t>
            </w:r>
          </w:p>
        </w:tc>
        <w:tc>
          <w:tcPr>
            <w:tcW w:type="dxa" w:w="4032"/>
            <w:shd w:val="clear" w:fill="0B6FA4"/>
          </w:tcPr>
          <w:p>
            <w:pPr>
              <w:spacing w:after="40"/>
            </w:pPr>
            <w:r/>
            <w:r>
              <w:rPr>
                <w:b/>
                <w:color w:val="FFFFFF"/>
                <w:sz w:val="19"/>
              </w:rPr>
              <w:t>Technology</w:t>
            </w:r>
          </w:p>
        </w:tc>
        <w:tc>
          <w:tcPr>
            <w:tcW w:type="dxa" w:w="2880"/>
            <w:shd w:val="clear" w:fill="0B6FA4"/>
          </w:tcPr>
          <w:p>
            <w:pPr>
              <w:spacing w:after="40"/>
            </w:pPr>
            <w:r/>
            <w:r>
              <w:rPr>
                <w:b/>
                <w:color w:val="FFFFFF"/>
                <w:sz w:val="19"/>
              </w:rPr>
              <w:t>Version</w:t>
            </w:r>
          </w:p>
        </w:tc>
      </w:tr>
      <w:tr>
        <w:tc>
          <w:tcPr>
            <w:tcW w:type="dxa" w:w="2592"/>
          </w:tcPr>
          <w:p>
            <w:pPr>
              <w:spacing w:after="40"/>
            </w:pPr>
            <w:r/>
            <w:r>
              <w:rPr>
                <w:sz w:val="19"/>
              </w:rPr>
              <w:t>Operating system</w:t>
            </w:r>
          </w:p>
        </w:tc>
        <w:tc>
          <w:tcPr>
            <w:tcW w:type="dxa" w:w="4032"/>
          </w:tcPr>
          <w:p>
            <w:pPr>
              <w:spacing w:after="40"/>
            </w:pPr>
            <w:r/>
            <w:r>
              <w:rPr>
                <w:sz w:val="19"/>
              </w:rPr>
              <w:t>Ubuntu LTS</w:t>
            </w:r>
          </w:p>
        </w:tc>
        <w:tc>
          <w:tcPr>
            <w:tcW w:type="dxa" w:w="2880"/>
          </w:tcPr>
          <w:p>
            <w:pPr>
              <w:spacing w:after="40"/>
            </w:pPr>
            <w:r/>
            <w:r>
              <w:rPr>
                <w:sz w:val="19"/>
              </w:rPr>
              <w:t>24.04.4 (kernel 6.8)</w:t>
            </w:r>
          </w:p>
        </w:tc>
      </w:tr>
      <w:tr>
        <w:tc>
          <w:tcPr>
            <w:tcW w:type="dxa" w:w="2592"/>
            <w:shd w:val="clear" w:fill="F2F6F9"/>
          </w:tcPr>
          <w:p>
            <w:pPr>
              <w:spacing w:after="40"/>
            </w:pPr>
            <w:r/>
            <w:r>
              <w:rPr>
                <w:sz w:val="19"/>
              </w:rPr>
              <w:t>Runtime</w:t>
            </w:r>
          </w:p>
        </w:tc>
        <w:tc>
          <w:tcPr>
            <w:tcW w:type="dxa" w:w="4032"/>
            <w:shd w:val="clear" w:fill="F2F6F9"/>
          </w:tcPr>
          <w:p>
            <w:pPr>
              <w:spacing w:after="40"/>
            </w:pPr>
            <w:r/>
            <w:r>
              <w:rPr>
                <w:sz w:val="19"/>
              </w:rPr>
              <w:t>Python</w:t>
            </w:r>
          </w:p>
        </w:tc>
        <w:tc>
          <w:tcPr>
            <w:tcW w:type="dxa" w:w="2880"/>
            <w:shd w:val="clear" w:fill="F2F6F9"/>
          </w:tcPr>
          <w:p>
            <w:pPr>
              <w:spacing w:after="40"/>
            </w:pPr>
            <w:r/>
            <w:r>
              <w:rPr>
                <w:sz w:val="19"/>
              </w:rPr>
              <w:t>3.12.3</w:t>
            </w:r>
          </w:p>
        </w:tc>
      </w:tr>
      <w:tr>
        <w:tc>
          <w:tcPr>
            <w:tcW w:type="dxa" w:w="2592"/>
          </w:tcPr>
          <w:p>
            <w:pPr>
              <w:spacing w:after="40"/>
            </w:pPr>
            <w:r/>
            <w:r>
              <w:rPr>
                <w:sz w:val="19"/>
              </w:rPr>
              <w:t>Frontend build</w:t>
            </w:r>
          </w:p>
        </w:tc>
        <w:tc>
          <w:tcPr>
            <w:tcW w:type="dxa" w:w="4032"/>
          </w:tcPr>
          <w:p>
            <w:pPr>
              <w:spacing w:after="40"/>
            </w:pPr>
            <w:r/>
            <w:r>
              <w:rPr>
                <w:sz w:val="19"/>
              </w:rPr>
              <w:t>Node.js / Vite</w:t>
            </w:r>
          </w:p>
        </w:tc>
        <w:tc>
          <w:tcPr>
            <w:tcW w:type="dxa" w:w="2880"/>
          </w:tcPr>
          <w:p>
            <w:pPr>
              <w:spacing w:after="40"/>
            </w:pPr>
            <w:r/>
            <w:r>
              <w:rPr>
                <w:sz w:val="19"/>
              </w:rPr>
              <w:t>22.22.1</w:t>
            </w:r>
          </w:p>
        </w:tc>
      </w:tr>
      <w:tr>
        <w:tc>
          <w:tcPr>
            <w:tcW w:type="dxa" w:w="2592"/>
            <w:shd w:val="clear" w:fill="F2F6F9"/>
          </w:tcPr>
          <w:p>
            <w:pPr>
              <w:spacing w:after="40"/>
            </w:pPr>
            <w:r/>
            <w:r>
              <w:rPr>
                <w:sz w:val="19"/>
              </w:rPr>
              <w:t>Process supervision</w:t>
            </w:r>
          </w:p>
        </w:tc>
        <w:tc>
          <w:tcPr>
            <w:tcW w:type="dxa" w:w="4032"/>
            <w:shd w:val="clear" w:fill="F2F6F9"/>
          </w:tcPr>
          <w:p>
            <w:pPr>
              <w:spacing w:after="40"/>
            </w:pPr>
            <w:r/>
            <w:r>
              <w:rPr>
                <w:sz w:val="19"/>
              </w:rPr>
              <w:t>systemd</w:t>
            </w:r>
          </w:p>
        </w:tc>
        <w:tc>
          <w:tcPr>
            <w:tcW w:type="dxa" w:w="2880"/>
            <w:shd w:val="clear" w:fill="F2F6F9"/>
          </w:tcPr>
          <w:p>
            <w:pPr>
              <w:spacing w:after="40"/>
            </w:pPr>
            <w:r/>
            <w:r>
              <w:rPr>
                <w:sz w:val="19"/>
              </w:rPr>
              <w:t>—</w:t>
            </w:r>
          </w:p>
        </w:tc>
      </w:tr>
    </w:tbl>
    <w:p>
      <w:pPr>
        <w:spacing w:after="80"/>
      </w:pPr>
    </w:p>
    <w:p>
      <w:pPr>
        <w:pStyle w:val="Heading2"/>
      </w:pPr>
      <w:r>
        <w:t>8.2 Machine learning and numerical</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160"/>
            <w:shd w:val="clear" w:fill="0B6FA4"/>
          </w:tcPr>
          <w:p>
            <w:pPr>
              <w:spacing w:after="40"/>
            </w:pPr>
            <w:r/>
            <w:r>
              <w:rPr>
                <w:b/>
                <w:color w:val="FFFFFF"/>
                <w:sz w:val="19"/>
              </w:rPr>
              <w:t>Component</w:t>
            </w:r>
          </w:p>
        </w:tc>
        <w:tc>
          <w:tcPr>
            <w:tcW w:type="dxa" w:w="2016"/>
            <w:shd w:val="clear" w:fill="0B6FA4"/>
          </w:tcPr>
          <w:p>
            <w:pPr>
              <w:spacing w:after="40"/>
            </w:pPr>
            <w:r/>
            <w:r>
              <w:rPr>
                <w:b/>
                <w:color w:val="FFFFFF"/>
                <w:sz w:val="19"/>
              </w:rPr>
              <w:t>Library</w:t>
            </w:r>
          </w:p>
        </w:tc>
        <w:tc>
          <w:tcPr>
            <w:tcW w:type="dxa" w:w="2160"/>
            <w:shd w:val="clear" w:fill="0B6FA4"/>
          </w:tcPr>
          <w:p>
            <w:pPr>
              <w:spacing w:after="40"/>
            </w:pPr>
            <w:r/>
            <w:r>
              <w:rPr>
                <w:b/>
                <w:color w:val="FFFFFF"/>
                <w:sz w:val="19"/>
              </w:rPr>
              <w:t>Version</w:t>
            </w:r>
          </w:p>
        </w:tc>
        <w:tc>
          <w:tcPr>
            <w:tcW w:type="dxa" w:w="3168"/>
            <w:shd w:val="clear" w:fill="0B6FA4"/>
          </w:tcPr>
          <w:p>
            <w:pPr>
              <w:spacing w:after="40"/>
            </w:pPr>
            <w:r/>
            <w:r>
              <w:rPr>
                <w:b/>
                <w:color w:val="FFFFFF"/>
                <w:sz w:val="19"/>
              </w:rPr>
              <w:t>Role</w:t>
            </w:r>
          </w:p>
        </w:tc>
      </w:tr>
      <w:tr>
        <w:tc>
          <w:tcPr>
            <w:tcW w:type="dxa" w:w="2160"/>
          </w:tcPr>
          <w:p>
            <w:pPr>
              <w:spacing w:after="40"/>
            </w:pPr>
            <w:r/>
            <w:r>
              <w:rPr>
                <w:sz w:val="19"/>
              </w:rPr>
              <w:t>Outlier detection</w:t>
            </w:r>
          </w:p>
        </w:tc>
        <w:tc>
          <w:tcPr>
            <w:tcW w:type="dxa" w:w="2016"/>
          </w:tcPr>
          <w:p>
            <w:pPr>
              <w:spacing w:after="40"/>
            </w:pPr>
            <w:r/>
            <w:r>
              <w:rPr>
                <w:sz w:val="19"/>
              </w:rPr>
              <w:t>scikit-learn</w:t>
            </w:r>
          </w:p>
        </w:tc>
        <w:tc>
          <w:tcPr>
            <w:tcW w:type="dxa" w:w="2160"/>
          </w:tcPr>
          <w:p>
            <w:pPr>
              <w:spacing w:after="40"/>
            </w:pPr>
            <w:r/>
            <w:r>
              <w:rPr>
                <w:sz w:val="19"/>
              </w:rPr>
              <w:t>1.8.0</w:t>
            </w:r>
          </w:p>
        </w:tc>
        <w:tc>
          <w:tcPr>
            <w:tcW w:type="dxa" w:w="3168"/>
          </w:tcPr>
          <w:p>
            <w:pPr>
              <w:spacing w:after="40"/>
            </w:pPr>
            <w:r/>
            <w:r>
              <w:rPr>
                <w:sz w:val="19"/>
              </w:rPr>
              <w:t>Isolation Forest, scaling</w:t>
            </w:r>
          </w:p>
        </w:tc>
      </w:tr>
      <w:tr>
        <w:tc>
          <w:tcPr>
            <w:tcW w:type="dxa" w:w="2160"/>
            <w:shd w:val="clear" w:fill="F2F6F9"/>
          </w:tcPr>
          <w:p>
            <w:pPr>
              <w:spacing w:after="40"/>
            </w:pPr>
            <w:r/>
            <w:r>
              <w:rPr>
                <w:sz w:val="19"/>
              </w:rPr>
              <w:t>Behavioural models</w:t>
            </w:r>
          </w:p>
        </w:tc>
        <w:tc>
          <w:tcPr>
            <w:tcW w:type="dxa" w:w="2016"/>
            <w:shd w:val="clear" w:fill="F2F6F9"/>
          </w:tcPr>
          <w:p>
            <w:pPr>
              <w:spacing w:after="40"/>
            </w:pPr>
            <w:r/>
            <w:r>
              <w:rPr>
                <w:sz w:val="19"/>
              </w:rPr>
              <w:t>PyTorch</w:t>
            </w:r>
          </w:p>
        </w:tc>
        <w:tc>
          <w:tcPr>
            <w:tcW w:type="dxa" w:w="2160"/>
            <w:shd w:val="clear" w:fill="F2F6F9"/>
          </w:tcPr>
          <w:p>
            <w:pPr>
              <w:spacing w:after="40"/>
            </w:pPr>
            <w:r/>
            <w:r>
              <w:rPr>
                <w:sz w:val="19"/>
              </w:rPr>
              <w:t>2.10.0 (CUDA 12.8)</w:t>
            </w:r>
          </w:p>
        </w:tc>
        <w:tc>
          <w:tcPr>
            <w:tcW w:type="dxa" w:w="3168"/>
            <w:shd w:val="clear" w:fill="F2F6F9"/>
          </w:tcPr>
          <w:p>
            <w:pPr>
              <w:spacing w:after="40"/>
            </w:pPr>
            <w:r/>
            <w:r>
              <w:rPr>
                <w:sz w:val="19"/>
              </w:rPr>
              <w:t>Per-entity autoencoders</w:t>
            </w:r>
          </w:p>
        </w:tc>
      </w:tr>
      <w:tr>
        <w:tc>
          <w:tcPr>
            <w:tcW w:type="dxa" w:w="2160"/>
          </w:tcPr>
          <w:p>
            <w:pPr>
              <w:spacing w:after="40"/>
            </w:pPr>
            <w:r/>
            <w:r>
              <w:rPr>
                <w:sz w:val="19"/>
              </w:rPr>
              <w:t>Clustering</w:t>
            </w:r>
          </w:p>
        </w:tc>
        <w:tc>
          <w:tcPr>
            <w:tcW w:type="dxa" w:w="2016"/>
          </w:tcPr>
          <w:p>
            <w:pPr>
              <w:spacing w:after="40"/>
            </w:pPr>
            <w:r/>
            <w:r>
              <w:rPr>
                <w:sz w:val="19"/>
              </w:rPr>
              <w:t>HDBSCAN</w:t>
            </w:r>
          </w:p>
        </w:tc>
        <w:tc>
          <w:tcPr>
            <w:tcW w:type="dxa" w:w="2160"/>
          </w:tcPr>
          <w:p>
            <w:pPr>
              <w:spacing w:after="40"/>
            </w:pPr>
            <w:r/>
            <w:r>
              <w:rPr>
                <w:sz w:val="19"/>
              </w:rPr>
              <w:t>—</w:t>
            </w:r>
          </w:p>
        </w:tc>
        <w:tc>
          <w:tcPr>
            <w:tcW w:type="dxa" w:w="3168"/>
          </w:tcPr>
          <w:p>
            <w:pPr>
              <w:spacing w:after="40"/>
            </w:pPr>
            <w:r/>
            <w:r>
              <w:rPr>
                <w:sz w:val="19"/>
              </w:rPr>
              <w:t>Campaign correlation</w:t>
            </w:r>
          </w:p>
        </w:tc>
      </w:tr>
      <w:tr>
        <w:tc>
          <w:tcPr>
            <w:tcW w:type="dxa" w:w="2160"/>
            <w:shd w:val="clear" w:fill="F2F6F9"/>
          </w:tcPr>
          <w:p>
            <w:pPr>
              <w:spacing w:after="40"/>
            </w:pPr>
            <w:r/>
            <w:r>
              <w:rPr>
                <w:sz w:val="19"/>
              </w:rPr>
              <w:t>Vector search</w:t>
            </w:r>
          </w:p>
        </w:tc>
        <w:tc>
          <w:tcPr>
            <w:tcW w:type="dxa" w:w="2016"/>
            <w:shd w:val="clear" w:fill="F2F6F9"/>
          </w:tcPr>
          <w:p>
            <w:pPr>
              <w:spacing w:after="40"/>
            </w:pPr>
            <w:r/>
            <w:r>
              <w:rPr>
                <w:sz w:val="19"/>
              </w:rPr>
              <w:t>FAISS</w:t>
            </w:r>
          </w:p>
        </w:tc>
        <w:tc>
          <w:tcPr>
            <w:tcW w:type="dxa" w:w="2160"/>
            <w:shd w:val="clear" w:fill="F2F6F9"/>
          </w:tcPr>
          <w:p>
            <w:pPr>
              <w:spacing w:after="40"/>
            </w:pPr>
            <w:r/>
            <w:r>
              <w:rPr>
                <w:sz w:val="19"/>
              </w:rPr>
              <w:t>1.14.1</w:t>
            </w:r>
          </w:p>
        </w:tc>
        <w:tc>
          <w:tcPr>
            <w:tcW w:type="dxa" w:w="3168"/>
            <w:shd w:val="clear" w:fill="F2F6F9"/>
          </w:tcPr>
          <w:p>
            <w:pPr>
              <w:spacing w:after="40"/>
            </w:pPr>
            <w:r/>
            <w:r>
              <w:rPr>
                <w:sz w:val="19"/>
              </w:rPr>
              <w:t>Similar-anomaly retrieval</w:t>
            </w:r>
          </w:p>
        </w:tc>
      </w:tr>
      <w:tr>
        <w:tc>
          <w:tcPr>
            <w:tcW w:type="dxa" w:w="2160"/>
          </w:tcPr>
          <w:p>
            <w:pPr>
              <w:spacing w:after="40"/>
            </w:pPr>
            <w:r/>
            <w:r>
              <w:rPr>
                <w:sz w:val="19"/>
              </w:rPr>
              <w:t>Numerics</w:t>
            </w:r>
          </w:p>
        </w:tc>
        <w:tc>
          <w:tcPr>
            <w:tcW w:type="dxa" w:w="2016"/>
          </w:tcPr>
          <w:p>
            <w:pPr>
              <w:spacing w:after="40"/>
            </w:pPr>
            <w:r/>
            <w:r>
              <w:rPr>
                <w:sz w:val="19"/>
              </w:rPr>
              <w:t>NumPy</w:t>
            </w:r>
          </w:p>
        </w:tc>
        <w:tc>
          <w:tcPr>
            <w:tcW w:type="dxa" w:w="2160"/>
          </w:tcPr>
          <w:p>
            <w:pPr>
              <w:spacing w:after="40"/>
            </w:pPr>
            <w:r/>
            <w:r>
              <w:rPr>
                <w:sz w:val="19"/>
              </w:rPr>
              <w:t>2.4.2</w:t>
            </w:r>
          </w:p>
        </w:tc>
        <w:tc>
          <w:tcPr>
            <w:tcW w:type="dxa" w:w="3168"/>
          </w:tcPr>
          <w:p>
            <w:pPr>
              <w:spacing w:after="40"/>
            </w:pPr>
            <w:r/>
            <w:r>
              <w:rPr>
                <w:sz w:val="19"/>
              </w:rPr>
              <w:t>Feature vectors and batch operations</w:t>
            </w:r>
          </w:p>
        </w:tc>
      </w:tr>
      <w:tr>
        <w:tc>
          <w:tcPr>
            <w:tcW w:type="dxa" w:w="2160"/>
            <w:shd w:val="clear" w:fill="F2F6F9"/>
          </w:tcPr>
          <w:p>
            <w:pPr>
              <w:spacing w:after="40"/>
            </w:pPr>
            <w:r/>
            <w:r>
              <w:rPr>
                <w:sz w:val="19"/>
              </w:rPr>
              <w:t>Model persistence</w:t>
            </w:r>
          </w:p>
        </w:tc>
        <w:tc>
          <w:tcPr>
            <w:tcW w:type="dxa" w:w="2016"/>
            <w:shd w:val="clear" w:fill="F2F6F9"/>
          </w:tcPr>
          <w:p>
            <w:pPr>
              <w:spacing w:after="40"/>
            </w:pPr>
            <w:r/>
            <w:r>
              <w:rPr>
                <w:sz w:val="19"/>
              </w:rPr>
              <w:t>joblib</w:t>
            </w:r>
          </w:p>
        </w:tc>
        <w:tc>
          <w:tcPr>
            <w:tcW w:type="dxa" w:w="2160"/>
            <w:shd w:val="clear" w:fill="F2F6F9"/>
          </w:tcPr>
          <w:p>
            <w:pPr>
              <w:spacing w:after="40"/>
            </w:pPr>
            <w:r/>
            <w:r>
              <w:rPr>
                <w:sz w:val="19"/>
              </w:rPr>
              <w:t>1.5.3</w:t>
            </w:r>
          </w:p>
        </w:tc>
        <w:tc>
          <w:tcPr>
            <w:tcW w:type="dxa" w:w="3168"/>
            <w:shd w:val="clear" w:fill="F2F6F9"/>
          </w:tcPr>
          <w:p>
            <w:pPr>
              <w:spacing w:after="40"/>
            </w:pPr>
            <w:r/>
            <w:r>
              <w:rPr>
                <w:sz w:val="19"/>
              </w:rPr>
              <w:t>Serialised estimators</w:t>
            </w:r>
          </w:p>
        </w:tc>
      </w:tr>
      <w:tr>
        <w:tc>
          <w:tcPr>
            <w:tcW w:type="dxa" w:w="2160"/>
          </w:tcPr>
          <w:p>
            <w:pPr>
              <w:spacing w:after="40"/>
            </w:pPr>
            <w:r/>
            <w:r>
              <w:rPr>
                <w:sz w:val="19"/>
              </w:rPr>
              <w:t>Training datasets</w:t>
            </w:r>
          </w:p>
        </w:tc>
        <w:tc>
          <w:tcPr>
            <w:tcW w:type="dxa" w:w="2016"/>
          </w:tcPr>
          <w:p>
            <w:pPr>
              <w:spacing w:after="40"/>
            </w:pPr>
            <w:r/>
            <w:r>
              <w:rPr>
                <w:sz w:val="19"/>
              </w:rPr>
              <w:t>h5py</w:t>
            </w:r>
          </w:p>
        </w:tc>
        <w:tc>
          <w:tcPr>
            <w:tcW w:type="dxa" w:w="2160"/>
          </w:tcPr>
          <w:p>
            <w:pPr>
              <w:spacing w:after="40"/>
            </w:pPr>
            <w:r/>
            <w:r>
              <w:rPr>
                <w:sz w:val="19"/>
              </w:rPr>
              <w:t>3.15.1</w:t>
            </w:r>
          </w:p>
        </w:tc>
        <w:tc>
          <w:tcPr>
            <w:tcW w:type="dxa" w:w="3168"/>
          </w:tcPr>
          <w:p>
            <w:pPr>
              <w:spacing w:after="40"/>
            </w:pPr>
            <w:r/>
            <w:r>
              <w:rPr>
                <w:sz w:val="19"/>
              </w:rPr>
              <w:t>Columnar feature storage</w:t>
            </w:r>
          </w:p>
        </w:tc>
      </w:tr>
    </w:tbl>
    <w:p>
      <w:pPr>
        <w:spacing w:after="80"/>
      </w:pPr>
    </w:p>
    <w:p>
      <w:pPr>
        <w:pStyle w:val="Heading2"/>
      </w:pPr>
      <w:r>
        <w:t>8.3 Application and services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160"/>
            <w:shd w:val="clear" w:fill="0B6FA4"/>
          </w:tcPr>
          <w:p>
            <w:pPr>
              <w:spacing w:after="40"/>
            </w:pPr>
            <w:r/>
            <w:r>
              <w:rPr>
                <w:b/>
                <w:color w:val="FFFFFF"/>
                <w:sz w:val="19"/>
              </w:rPr>
              <w:t>Component</w:t>
            </w:r>
          </w:p>
        </w:tc>
        <w:tc>
          <w:tcPr>
            <w:tcW w:type="dxa" w:w="1872"/>
            <w:shd w:val="clear" w:fill="0B6FA4"/>
          </w:tcPr>
          <w:p>
            <w:pPr>
              <w:spacing w:after="40"/>
            </w:pPr>
            <w:r/>
            <w:r>
              <w:rPr>
                <w:b/>
                <w:color w:val="FFFFFF"/>
                <w:sz w:val="19"/>
              </w:rPr>
              <w:t>Library</w:t>
            </w:r>
          </w:p>
        </w:tc>
        <w:tc>
          <w:tcPr>
            <w:tcW w:type="dxa" w:w="1728"/>
            <w:shd w:val="clear" w:fill="0B6FA4"/>
          </w:tcPr>
          <w:p>
            <w:pPr>
              <w:spacing w:after="40"/>
            </w:pPr>
            <w:r/>
            <w:r>
              <w:rPr>
                <w:b/>
                <w:color w:val="FFFFFF"/>
                <w:sz w:val="19"/>
              </w:rPr>
              <w:t>Version</w:t>
            </w:r>
          </w:p>
        </w:tc>
        <w:tc>
          <w:tcPr>
            <w:tcW w:type="dxa" w:w="3744"/>
            <w:shd w:val="clear" w:fill="0B6FA4"/>
          </w:tcPr>
          <w:p>
            <w:pPr>
              <w:spacing w:after="40"/>
            </w:pPr>
            <w:r/>
            <w:r>
              <w:rPr>
                <w:b/>
                <w:color w:val="FFFFFF"/>
                <w:sz w:val="19"/>
              </w:rPr>
              <w:t>Role</w:t>
            </w:r>
          </w:p>
        </w:tc>
      </w:tr>
      <w:tr>
        <w:tc>
          <w:tcPr>
            <w:tcW w:type="dxa" w:w="2160"/>
          </w:tcPr>
          <w:p>
            <w:pPr>
              <w:spacing w:after="40"/>
            </w:pPr>
            <w:r/>
            <w:r>
              <w:rPr>
                <w:sz w:val="19"/>
              </w:rPr>
              <w:t>Web framework</w:t>
            </w:r>
          </w:p>
        </w:tc>
        <w:tc>
          <w:tcPr>
            <w:tcW w:type="dxa" w:w="1872"/>
          </w:tcPr>
          <w:p>
            <w:pPr>
              <w:spacing w:after="40"/>
            </w:pPr>
            <w:r/>
            <w:r>
              <w:rPr>
                <w:sz w:val="19"/>
              </w:rPr>
              <w:t>Flask</w:t>
            </w:r>
          </w:p>
        </w:tc>
        <w:tc>
          <w:tcPr>
            <w:tcW w:type="dxa" w:w="1728"/>
          </w:tcPr>
          <w:p>
            <w:pPr>
              <w:spacing w:after="40"/>
            </w:pPr>
            <w:r/>
            <w:r>
              <w:rPr>
                <w:sz w:val="19"/>
              </w:rPr>
              <w:t>3.1.3</w:t>
            </w:r>
          </w:p>
        </w:tc>
        <w:tc>
          <w:tcPr>
            <w:tcW w:type="dxa" w:w="3744"/>
          </w:tcPr>
          <w:p>
            <w:pPr>
              <w:spacing w:after="40"/>
            </w:pPr>
            <w:r/>
            <w:r>
              <w:rPr>
                <w:sz w:val="19"/>
              </w:rPr>
              <w:t>REST API and console delivery</w:t>
            </w:r>
          </w:p>
        </w:tc>
      </w:tr>
      <w:tr>
        <w:tc>
          <w:tcPr>
            <w:tcW w:type="dxa" w:w="2160"/>
            <w:shd w:val="clear" w:fill="F2F6F9"/>
          </w:tcPr>
          <w:p>
            <w:pPr>
              <w:spacing w:after="40"/>
            </w:pPr>
            <w:r/>
            <w:r>
              <w:rPr>
                <w:sz w:val="19"/>
              </w:rPr>
              <w:t>Cross-origin policy</w:t>
            </w:r>
          </w:p>
        </w:tc>
        <w:tc>
          <w:tcPr>
            <w:tcW w:type="dxa" w:w="1872"/>
            <w:shd w:val="clear" w:fill="F2F6F9"/>
          </w:tcPr>
          <w:p>
            <w:pPr>
              <w:spacing w:after="40"/>
            </w:pPr>
            <w:r/>
            <w:r>
              <w:rPr>
                <w:sz w:val="19"/>
              </w:rPr>
              <w:t>Flask-CORS</w:t>
            </w:r>
          </w:p>
        </w:tc>
        <w:tc>
          <w:tcPr>
            <w:tcW w:type="dxa" w:w="1728"/>
            <w:shd w:val="clear" w:fill="F2F6F9"/>
          </w:tcPr>
          <w:p>
            <w:pPr>
              <w:spacing w:after="40"/>
            </w:pPr>
            <w:r/>
            <w:r>
              <w:rPr>
                <w:sz w:val="19"/>
              </w:rPr>
              <w:t>6.0.2</w:t>
            </w:r>
          </w:p>
        </w:tc>
        <w:tc>
          <w:tcPr>
            <w:tcW w:type="dxa" w:w="3744"/>
            <w:shd w:val="clear" w:fill="F2F6F9"/>
          </w:tcPr>
          <w:p>
            <w:pPr>
              <w:spacing w:after="40"/>
            </w:pPr>
            <w:r/>
            <w:r>
              <w:rPr>
                <w:sz w:val="19"/>
              </w:rPr>
              <w:t>Controlled browser access</w:t>
            </w:r>
          </w:p>
        </w:tc>
      </w:tr>
      <w:tr>
        <w:tc>
          <w:tcPr>
            <w:tcW w:type="dxa" w:w="2160"/>
          </w:tcPr>
          <w:p>
            <w:pPr>
              <w:spacing w:after="40"/>
            </w:pPr>
            <w:r/>
            <w:r>
              <w:rPr>
                <w:sz w:val="19"/>
              </w:rPr>
              <w:t>Authentication</w:t>
            </w:r>
          </w:p>
        </w:tc>
        <w:tc>
          <w:tcPr>
            <w:tcW w:type="dxa" w:w="1872"/>
          </w:tcPr>
          <w:p>
            <w:pPr>
              <w:spacing w:after="40"/>
            </w:pPr>
            <w:r/>
            <w:r>
              <w:rPr>
                <w:sz w:val="19"/>
              </w:rPr>
              <w:t>PyJWT</w:t>
            </w:r>
          </w:p>
        </w:tc>
        <w:tc>
          <w:tcPr>
            <w:tcW w:type="dxa" w:w="1728"/>
          </w:tcPr>
          <w:p>
            <w:pPr>
              <w:spacing w:after="40"/>
            </w:pPr>
            <w:r/>
            <w:r>
              <w:rPr>
                <w:sz w:val="19"/>
              </w:rPr>
              <w:t>2.13.0</w:t>
            </w:r>
          </w:p>
        </w:tc>
        <w:tc>
          <w:tcPr>
            <w:tcW w:type="dxa" w:w="3744"/>
          </w:tcPr>
          <w:p>
            <w:pPr>
              <w:spacing w:after="40"/>
            </w:pPr>
            <w:r/>
            <w:r>
              <w:rPr>
                <w:sz w:val="19"/>
              </w:rPr>
              <w:t>SSO assertion verification</w:t>
            </w:r>
          </w:p>
        </w:tc>
      </w:tr>
      <w:tr>
        <w:tc>
          <w:tcPr>
            <w:tcW w:type="dxa" w:w="2160"/>
            <w:shd w:val="clear" w:fill="F2F6F9"/>
          </w:tcPr>
          <w:p>
            <w:pPr>
              <w:spacing w:after="40"/>
            </w:pPr>
            <w:r/>
            <w:r>
              <w:rPr>
                <w:sz w:val="19"/>
              </w:rPr>
              <w:t>Serialisation</w:t>
            </w:r>
          </w:p>
        </w:tc>
        <w:tc>
          <w:tcPr>
            <w:tcW w:type="dxa" w:w="1872"/>
            <w:shd w:val="clear" w:fill="F2F6F9"/>
          </w:tcPr>
          <w:p>
            <w:pPr>
              <w:spacing w:after="40"/>
            </w:pPr>
            <w:r/>
            <w:r>
              <w:rPr>
                <w:sz w:val="19"/>
              </w:rPr>
              <w:t>orjson</w:t>
            </w:r>
          </w:p>
        </w:tc>
        <w:tc>
          <w:tcPr>
            <w:tcW w:type="dxa" w:w="1728"/>
            <w:shd w:val="clear" w:fill="F2F6F9"/>
          </w:tcPr>
          <w:p>
            <w:pPr>
              <w:spacing w:after="40"/>
            </w:pPr>
            <w:r/>
            <w:r>
              <w:rPr>
                <w:sz w:val="19"/>
              </w:rPr>
              <w:t>3.11.9</w:t>
            </w:r>
          </w:p>
        </w:tc>
        <w:tc>
          <w:tcPr>
            <w:tcW w:type="dxa" w:w="3744"/>
            <w:shd w:val="clear" w:fill="F2F6F9"/>
          </w:tcPr>
          <w:p>
            <w:pPr>
              <w:spacing w:after="40"/>
            </w:pPr>
            <w:r/>
            <w:r>
              <w:rPr>
                <w:sz w:val="19"/>
              </w:rPr>
              <w:t>High-throughput JSON</w:t>
            </w:r>
          </w:p>
        </w:tc>
      </w:tr>
      <w:tr>
        <w:tc>
          <w:tcPr>
            <w:tcW w:type="dxa" w:w="2160"/>
          </w:tcPr>
          <w:p>
            <w:pPr>
              <w:spacing w:after="40"/>
            </w:pPr>
            <w:r/>
            <w:r>
              <w:rPr>
                <w:sz w:val="19"/>
              </w:rPr>
              <w:t>Configuration</w:t>
            </w:r>
          </w:p>
        </w:tc>
        <w:tc>
          <w:tcPr>
            <w:tcW w:type="dxa" w:w="1872"/>
          </w:tcPr>
          <w:p>
            <w:pPr>
              <w:spacing w:after="40"/>
            </w:pPr>
            <w:r/>
            <w:r>
              <w:rPr>
                <w:sz w:val="19"/>
              </w:rPr>
              <w:t>PyYAML</w:t>
            </w:r>
          </w:p>
        </w:tc>
        <w:tc>
          <w:tcPr>
            <w:tcW w:type="dxa" w:w="1728"/>
          </w:tcPr>
          <w:p>
            <w:pPr>
              <w:spacing w:after="40"/>
            </w:pPr>
            <w:r/>
            <w:r>
              <w:rPr>
                <w:sz w:val="19"/>
              </w:rPr>
              <w:t>6.0.3</w:t>
            </w:r>
          </w:p>
        </w:tc>
        <w:tc>
          <w:tcPr>
            <w:tcW w:type="dxa" w:w="3744"/>
          </w:tcPr>
          <w:p>
            <w:pPr>
              <w:spacing w:after="40"/>
            </w:pPr>
            <w:r/>
            <w:r>
              <w:rPr>
                <w:sz w:val="19"/>
              </w:rPr>
              <w:t>Single-file configuration</w:t>
            </w:r>
          </w:p>
        </w:tc>
      </w:tr>
      <w:tr>
        <w:tc>
          <w:tcPr>
            <w:tcW w:type="dxa" w:w="2160"/>
            <w:shd w:val="clear" w:fill="F2F6F9"/>
          </w:tcPr>
          <w:p>
            <w:pPr>
              <w:spacing w:after="40"/>
            </w:pPr>
            <w:r/>
            <w:r>
              <w:rPr>
                <w:sz w:val="19"/>
              </w:rPr>
              <w:t>Geolocation</w:t>
            </w:r>
          </w:p>
        </w:tc>
        <w:tc>
          <w:tcPr>
            <w:tcW w:type="dxa" w:w="1872"/>
            <w:shd w:val="clear" w:fill="F2F6F9"/>
          </w:tcPr>
          <w:p>
            <w:pPr>
              <w:spacing w:after="40"/>
            </w:pPr>
            <w:r/>
            <w:r>
              <w:rPr>
                <w:sz w:val="19"/>
              </w:rPr>
              <w:t>geoip2</w:t>
            </w:r>
          </w:p>
        </w:tc>
        <w:tc>
          <w:tcPr>
            <w:tcW w:type="dxa" w:w="1728"/>
            <w:shd w:val="clear" w:fill="F2F6F9"/>
          </w:tcPr>
          <w:p>
            <w:pPr>
              <w:spacing w:after="40"/>
            </w:pPr>
            <w:r/>
            <w:r>
              <w:rPr>
                <w:sz w:val="19"/>
              </w:rPr>
              <w:t>5.2.0</w:t>
            </w:r>
          </w:p>
        </w:tc>
        <w:tc>
          <w:tcPr>
            <w:tcW w:type="dxa" w:w="3744"/>
            <w:shd w:val="clear" w:fill="F2F6F9"/>
          </w:tcPr>
          <w:p>
            <w:pPr>
              <w:spacing w:after="40"/>
            </w:pPr>
            <w:r/>
            <w:r>
              <w:rPr>
                <w:sz w:val="19"/>
              </w:rPr>
              <w:t>Offline IP geolocation</w:t>
            </w:r>
          </w:p>
        </w:tc>
      </w:tr>
      <w:tr>
        <w:tc>
          <w:tcPr>
            <w:tcW w:type="dxa" w:w="2160"/>
          </w:tcPr>
          <w:p>
            <w:pPr>
              <w:spacing w:after="40"/>
            </w:pPr>
            <w:r/>
            <w:r>
              <w:rPr>
                <w:sz w:val="19"/>
              </w:rPr>
              <w:t>PDF generation</w:t>
            </w:r>
          </w:p>
        </w:tc>
        <w:tc>
          <w:tcPr>
            <w:tcW w:type="dxa" w:w="1872"/>
          </w:tcPr>
          <w:p>
            <w:pPr>
              <w:spacing w:after="40"/>
            </w:pPr>
            <w:r/>
            <w:r>
              <w:rPr>
                <w:sz w:val="19"/>
              </w:rPr>
              <w:t>ReportLab</w:t>
            </w:r>
          </w:p>
        </w:tc>
        <w:tc>
          <w:tcPr>
            <w:tcW w:type="dxa" w:w="1728"/>
          </w:tcPr>
          <w:p>
            <w:pPr>
              <w:spacing w:after="40"/>
            </w:pPr>
            <w:r/>
            <w:r>
              <w:rPr>
                <w:sz w:val="19"/>
              </w:rPr>
              <w:t>5.0.1</w:t>
            </w:r>
          </w:p>
        </w:tc>
        <w:tc>
          <w:tcPr>
            <w:tcW w:type="dxa" w:w="3744"/>
          </w:tcPr>
          <w:p>
            <w:pPr>
              <w:spacing w:after="40"/>
            </w:pPr>
            <w:r/>
            <w:r>
              <w:rPr>
                <w:sz w:val="19"/>
              </w:rPr>
              <w:t>Reports and exports</w:t>
            </w:r>
          </w:p>
        </w:tc>
      </w:tr>
      <w:tr>
        <w:tc>
          <w:tcPr>
            <w:tcW w:type="dxa" w:w="2160"/>
            <w:shd w:val="clear" w:fill="F2F6F9"/>
          </w:tcPr>
          <w:p>
            <w:pPr>
              <w:spacing w:after="40"/>
            </w:pPr>
            <w:r/>
            <w:r>
              <w:rPr>
                <w:sz w:val="19"/>
              </w:rPr>
              <w:t>Spreadsheets</w:t>
            </w:r>
          </w:p>
        </w:tc>
        <w:tc>
          <w:tcPr>
            <w:tcW w:type="dxa" w:w="1872"/>
            <w:shd w:val="clear" w:fill="F2F6F9"/>
          </w:tcPr>
          <w:p>
            <w:pPr>
              <w:spacing w:after="40"/>
            </w:pPr>
            <w:r/>
            <w:r>
              <w:rPr>
                <w:sz w:val="19"/>
              </w:rPr>
              <w:t>openpyxl</w:t>
            </w:r>
          </w:p>
        </w:tc>
        <w:tc>
          <w:tcPr>
            <w:tcW w:type="dxa" w:w="1728"/>
            <w:shd w:val="clear" w:fill="F2F6F9"/>
          </w:tcPr>
          <w:p>
            <w:pPr>
              <w:spacing w:after="40"/>
            </w:pPr>
            <w:r/>
            <w:r>
              <w:rPr>
                <w:sz w:val="19"/>
              </w:rPr>
              <w:t>3.1.5</w:t>
            </w:r>
          </w:p>
        </w:tc>
        <w:tc>
          <w:tcPr>
            <w:tcW w:type="dxa" w:w="3744"/>
            <w:shd w:val="clear" w:fill="F2F6F9"/>
          </w:tcPr>
          <w:p>
            <w:pPr>
              <w:spacing w:after="40"/>
            </w:pPr>
            <w:r/>
            <w:r>
              <w:rPr>
                <w:sz w:val="19"/>
              </w:rPr>
              <w:t>Excel reports and exports</w:t>
            </w:r>
          </w:p>
        </w:tc>
      </w:tr>
    </w:tbl>
    <w:p>
      <w:pPr>
        <w:spacing w:after="80"/>
      </w:pPr>
    </w:p>
    <w:p>
      <w:pPr>
        <w:pStyle w:val="Heading2"/>
      </w:pPr>
      <w:r>
        <w:t>8.4 Console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16"/>
            <w:shd w:val="clear" w:fill="0B6FA4"/>
          </w:tcPr>
          <w:p>
            <w:pPr>
              <w:spacing w:after="40"/>
            </w:pPr>
            <w:r/>
            <w:r>
              <w:rPr>
                <w:b/>
                <w:color w:val="FFFFFF"/>
                <w:sz w:val="19"/>
              </w:rPr>
              <w:t>Component</w:t>
            </w:r>
          </w:p>
        </w:tc>
        <w:tc>
          <w:tcPr>
            <w:tcW w:type="dxa" w:w="3168"/>
            <w:shd w:val="clear" w:fill="0B6FA4"/>
          </w:tcPr>
          <w:p>
            <w:pPr>
              <w:spacing w:after="40"/>
            </w:pPr>
            <w:r/>
            <w:r>
              <w:rPr>
                <w:b/>
                <w:color w:val="FFFFFF"/>
                <w:sz w:val="19"/>
              </w:rPr>
              <w:t>Technology</w:t>
            </w:r>
          </w:p>
        </w:tc>
        <w:tc>
          <w:tcPr>
            <w:tcW w:type="dxa" w:w="4320"/>
            <w:shd w:val="clear" w:fill="0B6FA4"/>
          </w:tcPr>
          <w:p>
            <w:pPr>
              <w:spacing w:after="40"/>
            </w:pPr>
            <w:r/>
            <w:r>
              <w:rPr>
                <w:b/>
                <w:color w:val="FFFFFF"/>
                <w:sz w:val="19"/>
              </w:rPr>
              <w:t>Role</w:t>
            </w:r>
          </w:p>
        </w:tc>
      </w:tr>
      <w:tr>
        <w:tc>
          <w:tcPr>
            <w:tcW w:type="dxa" w:w="2016"/>
          </w:tcPr>
          <w:p>
            <w:pPr>
              <w:spacing w:after="40"/>
            </w:pPr>
            <w:r/>
            <w:r>
              <w:rPr>
                <w:sz w:val="19"/>
              </w:rPr>
              <w:t>Application</w:t>
            </w:r>
          </w:p>
        </w:tc>
        <w:tc>
          <w:tcPr>
            <w:tcW w:type="dxa" w:w="3168"/>
          </w:tcPr>
          <w:p>
            <w:pPr>
              <w:spacing w:after="40"/>
            </w:pPr>
            <w:r/>
            <w:r>
              <w:rPr>
                <w:sz w:val="19"/>
              </w:rPr>
              <w:t>Vanilla ES modules, built with Vite</w:t>
            </w:r>
          </w:p>
        </w:tc>
        <w:tc>
          <w:tcPr>
            <w:tcW w:type="dxa" w:w="4320"/>
          </w:tcPr>
          <w:p>
            <w:pPr>
              <w:spacing w:after="40"/>
            </w:pPr>
            <w:r/>
            <w:r>
              <w:rPr>
                <w:sz w:val="19"/>
              </w:rPr>
              <w:t>No frontend framework dependency; small, auditable bundle</w:t>
            </w:r>
          </w:p>
        </w:tc>
      </w:tr>
      <w:tr>
        <w:tc>
          <w:tcPr>
            <w:tcW w:type="dxa" w:w="2016"/>
            <w:shd w:val="clear" w:fill="F2F6F9"/>
          </w:tcPr>
          <w:p>
            <w:pPr>
              <w:spacing w:after="40"/>
            </w:pPr>
            <w:r/>
            <w:r>
              <w:rPr>
                <w:sz w:val="19"/>
              </w:rPr>
              <w:t>3D visualisation</w:t>
            </w:r>
          </w:p>
        </w:tc>
        <w:tc>
          <w:tcPr>
            <w:tcW w:type="dxa" w:w="3168"/>
            <w:shd w:val="clear" w:fill="F2F6F9"/>
          </w:tcPr>
          <w:p>
            <w:pPr>
              <w:spacing w:after="40"/>
            </w:pPr>
            <w:r/>
            <w:r>
              <w:rPr>
                <w:sz w:val="19"/>
              </w:rPr>
              <w:t>globe.gl / three.js</w:t>
            </w:r>
          </w:p>
        </w:tc>
        <w:tc>
          <w:tcPr>
            <w:tcW w:type="dxa" w:w="4320"/>
            <w:shd w:val="clear" w:fill="F2F6F9"/>
          </w:tcPr>
          <w:p>
            <w:pPr>
              <w:spacing w:after="40"/>
            </w:pPr>
            <w:r/>
            <w:r>
              <w:rPr>
                <w:sz w:val="19"/>
              </w:rPr>
              <w:t>Live threat map</w:t>
            </w:r>
          </w:p>
        </w:tc>
      </w:tr>
      <w:tr>
        <w:tc>
          <w:tcPr>
            <w:tcW w:type="dxa" w:w="2016"/>
          </w:tcPr>
          <w:p>
            <w:pPr>
              <w:spacing w:after="40"/>
            </w:pPr>
            <w:r/>
            <w:r>
              <w:rPr>
                <w:sz w:val="19"/>
              </w:rPr>
              <w:t>Charts</w:t>
            </w:r>
          </w:p>
        </w:tc>
        <w:tc>
          <w:tcPr>
            <w:tcW w:type="dxa" w:w="3168"/>
          </w:tcPr>
          <w:p>
            <w:pPr>
              <w:spacing w:after="40"/>
            </w:pPr>
            <w:r/>
            <w:r>
              <w:rPr>
                <w:sz w:val="19"/>
              </w:rPr>
              <w:t>Hand-written canvas and SVG</w:t>
            </w:r>
          </w:p>
        </w:tc>
        <w:tc>
          <w:tcPr>
            <w:tcW w:type="dxa" w:w="4320"/>
          </w:tcPr>
          <w:p>
            <w:pPr>
              <w:spacing w:after="40"/>
            </w:pPr>
            <w:r/>
            <w:r>
              <w:rPr>
                <w:sz w:val="19"/>
              </w:rPr>
              <w:t>Gauges, heatmaps, radar, score distribution, timelines — no charting library</w:t>
            </w:r>
          </w:p>
        </w:tc>
      </w:tr>
      <w:tr>
        <w:tc>
          <w:tcPr>
            <w:tcW w:type="dxa" w:w="2016"/>
            <w:shd w:val="clear" w:fill="F2F6F9"/>
          </w:tcPr>
          <w:p>
            <w:pPr>
              <w:spacing w:after="40"/>
            </w:pPr>
            <w:r/>
            <w:r>
              <w:rPr>
                <w:sz w:val="19"/>
              </w:rPr>
              <w:t>Transport</w:t>
            </w:r>
          </w:p>
        </w:tc>
        <w:tc>
          <w:tcPr>
            <w:tcW w:type="dxa" w:w="3168"/>
            <w:shd w:val="clear" w:fill="F2F6F9"/>
          </w:tcPr>
          <w:p>
            <w:pPr>
              <w:spacing w:after="40"/>
            </w:pPr>
            <w:r/>
            <w:r>
              <w:rPr>
                <w:sz w:val="19"/>
              </w:rPr>
              <w:t>REST with server-sent events</w:t>
            </w:r>
          </w:p>
        </w:tc>
        <w:tc>
          <w:tcPr>
            <w:tcW w:type="dxa" w:w="4320"/>
            <w:shd w:val="clear" w:fill="F2F6F9"/>
          </w:tcPr>
          <w:p>
            <w:pPr>
              <w:spacing w:after="40"/>
            </w:pPr>
            <w:r/>
            <w:r>
              <w:rPr>
                <w:sz w:val="19"/>
              </w:rPr>
              <w:t>Live alert streaming</w:t>
            </w:r>
          </w:p>
        </w:tc>
      </w:tr>
    </w:tbl>
    <w:p>
      <w:pPr>
        <w:spacing w:after="80"/>
      </w:pPr>
    </w:p>
    <w:p>
      <w:r>
        <w:br w:type="page"/>
      </w:r>
    </w:p>
    <w:p>
      <w:pPr>
        <w:pStyle w:val="Heading1"/>
      </w:pPr>
      <w:r>
        <w:t>9. Deployment and Operations</w:t>
      </w:r>
    </w:p>
    <w:p>
      <w:pPr>
        <w:pStyle w:val="Heading2"/>
      </w:pPr>
      <w:r>
        <w:t>9.1 Reference deployment specification</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872"/>
            <w:shd w:val="clear" w:fill="0B6FA4"/>
          </w:tcPr>
          <w:p>
            <w:pPr>
              <w:spacing w:after="40"/>
            </w:pPr>
            <w:r/>
            <w:r>
              <w:rPr>
                <w:b/>
                <w:color w:val="FFFFFF"/>
                <w:sz w:val="19"/>
              </w:rPr>
              <w:t>Resource</w:t>
            </w:r>
          </w:p>
        </w:tc>
        <w:tc>
          <w:tcPr>
            <w:tcW w:type="dxa" w:w="3168"/>
            <w:shd w:val="clear" w:fill="0B6FA4"/>
          </w:tcPr>
          <w:p>
            <w:pPr>
              <w:spacing w:after="40"/>
            </w:pPr>
            <w:r/>
            <w:r>
              <w:rPr>
                <w:b/>
                <w:color w:val="FFFFFF"/>
                <w:sz w:val="19"/>
              </w:rPr>
              <w:t>Reference deployment</w:t>
            </w:r>
          </w:p>
        </w:tc>
        <w:tc>
          <w:tcPr>
            <w:tcW w:type="dxa" w:w="4464"/>
            <w:shd w:val="clear" w:fill="0B6FA4"/>
          </w:tcPr>
          <w:p>
            <w:pPr>
              <w:spacing w:after="40"/>
            </w:pPr>
            <w:r/>
            <w:r>
              <w:rPr>
                <w:b/>
                <w:color w:val="FFFFFF"/>
                <w:sz w:val="19"/>
              </w:rPr>
              <w:t>Notes</w:t>
            </w:r>
          </w:p>
        </w:tc>
      </w:tr>
      <w:tr>
        <w:tc>
          <w:tcPr>
            <w:tcW w:type="dxa" w:w="1872"/>
          </w:tcPr>
          <w:p>
            <w:pPr>
              <w:spacing w:after="40"/>
            </w:pPr>
            <w:r/>
            <w:r>
              <w:rPr>
                <w:sz w:val="19"/>
              </w:rPr>
              <w:t>CPU</w:t>
            </w:r>
          </w:p>
        </w:tc>
        <w:tc>
          <w:tcPr>
            <w:tcW w:type="dxa" w:w="3168"/>
          </w:tcPr>
          <w:p>
            <w:pPr>
              <w:spacing w:after="40"/>
            </w:pPr>
            <w:r/>
            <w:r>
              <w:rPr>
                <w:sz w:val="19"/>
              </w:rPr>
              <w:t>60 cores</w:t>
            </w:r>
          </w:p>
        </w:tc>
        <w:tc>
          <w:tcPr>
            <w:tcW w:type="dxa" w:w="4464"/>
          </w:tcPr>
          <w:p>
            <w:pPr>
              <w:spacing w:after="40"/>
            </w:pPr>
            <w:r/>
            <w:r>
              <w:rPr>
                <w:sz w:val="19"/>
              </w:rPr>
              <w:t>Detection is CPU-bound at inference.</w:t>
            </w:r>
          </w:p>
        </w:tc>
      </w:tr>
      <w:tr>
        <w:tc>
          <w:tcPr>
            <w:tcW w:type="dxa" w:w="1872"/>
            <w:shd w:val="clear" w:fill="F2F6F9"/>
          </w:tcPr>
          <w:p>
            <w:pPr>
              <w:spacing w:after="40"/>
            </w:pPr>
            <w:r/>
            <w:r>
              <w:rPr>
                <w:sz w:val="19"/>
              </w:rPr>
              <w:t>Memory</w:t>
            </w:r>
          </w:p>
        </w:tc>
        <w:tc>
          <w:tcPr>
            <w:tcW w:type="dxa" w:w="3168"/>
            <w:shd w:val="clear" w:fill="F2F6F9"/>
          </w:tcPr>
          <w:p>
            <w:pPr>
              <w:spacing w:after="40"/>
            </w:pPr>
            <w:r/>
            <w:r>
              <w:rPr>
                <w:sz w:val="19"/>
              </w:rPr>
              <w:t>201 GB</w:t>
            </w:r>
          </w:p>
        </w:tc>
        <w:tc>
          <w:tcPr>
            <w:tcW w:type="dxa" w:w="4464"/>
            <w:shd w:val="clear" w:fill="F2F6F9"/>
          </w:tcPr>
          <w:p>
            <w:pPr>
              <w:spacing w:after="40"/>
            </w:pPr>
            <w:r/>
            <w:r>
              <w:rPr>
                <w:sz w:val="19"/>
              </w:rPr>
              <w:t>Dominated by the in-memory vector index.</w:t>
            </w:r>
          </w:p>
        </w:tc>
      </w:tr>
      <w:tr>
        <w:tc>
          <w:tcPr>
            <w:tcW w:type="dxa" w:w="1872"/>
          </w:tcPr>
          <w:p>
            <w:pPr>
              <w:spacing w:after="40"/>
            </w:pPr>
            <w:r/>
            <w:r>
              <w:rPr>
                <w:sz w:val="19"/>
              </w:rPr>
              <w:t>GPU</w:t>
            </w:r>
          </w:p>
        </w:tc>
        <w:tc>
          <w:tcPr>
            <w:tcW w:type="dxa" w:w="3168"/>
          </w:tcPr>
          <w:p>
            <w:pPr>
              <w:spacing w:after="40"/>
            </w:pPr>
            <w:r/>
            <w:r>
              <w:rPr>
                <w:sz w:val="19"/>
              </w:rPr>
              <w:t>NVIDIA L40S (46 GB)</w:t>
            </w:r>
          </w:p>
        </w:tc>
        <w:tc>
          <w:tcPr>
            <w:tcW w:type="dxa" w:w="4464"/>
          </w:tcPr>
          <w:p>
            <w:pPr>
              <w:spacing w:after="40"/>
            </w:pPr>
            <w:r/>
            <w:r>
              <w:rPr>
                <w:sz w:val="19"/>
              </w:rPr>
              <w:t>Used for model training only; optional.</w:t>
            </w:r>
          </w:p>
        </w:tc>
      </w:tr>
      <w:tr>
        <w:tc>
          <w:tcPr>
            <w:tcW w:type="dxa" w:w="1872"/>
            <w:shd w:val="clear" w:fill="F2F6F9"/>
          </w:tcPr>
          <w:p>
            <w:pPr>
              <w:spacing w:after="40"/>
            </w:pPr>
            <w:r/>
            <w:r>
              <w:rPr>
                <w:sz w:val="19"/>
              </w:rPr>
              <w:t>Storage</w:t>
            </w:r>
          </w:p>
        </w:tc>
        <w:tc>
          <w:tcPr>
            <w:tcW w:type="dxa" w:w="3168"/>
            <w:shd w:val="clear" w:fill="F2F6F9"/>
          </w:tcPr>
          <w:p>
            <w:pPr>
              <w:spacing w:after="40"/>
            </w:pPr>
            <w:r/>
            <w:r>
              <w:rPr>
                <w:sz w:val="19"/>
              </w:rPr>
              <w:t>Multi-terabyte, separate data volume</w:t>
            </w:r>
          </w:p>
        </w:tc>
        <w:tc>
          <w:tcPr>
            <w:tcW w:type="dxa" w:w="4464"/>
            <w:shd w:val="clear" w:fill="F2F6F9"/>
          </w:tcPr>
          <w:p>
            <w:pPr>
              <w:spacing w:after="40"/>
            </w:pPr>
            <w:r/>
            <w:r>
              <w:rPr>
                <w:sz w:val="19"/>
              </w:rPr>
              <w:t>Event history and vector index grow with retention.</w:t>
            </w:r>
          </w:p>
        </w:tc>
      </w:tr>
    </w:tbl>
    <w:p>
      <w:pPr>
        <w:spacing w:after="80"/>
      </w:pPr>
    </w:p>
    <w:p>
      <w:pPr>
        <w:spacing w:after="120"/>
      </w:pPr>
      <w:r>
        <w:rPr>
          <w:b w:val="0"/>
          <w:i w:val="0"/>
          <w:color w:val="1A1A1A"/>
          <w:sz w:val="20"/>
        </w:rPr>
        <w:t>The GPU accelerates retraining but is not required for detection: inference runs on CPU by design. A CPU-only deployment is supported, with retraining taking correspondingly longer.</w:t>
      </w:r>
    </w:p>
    <w:p>
      <w:pPr>
        <w:pStyle w:val="Heading2"/>
      </w:pPr>
      <w:r>
        <w:t>9.2 Storage profile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92"/>
            <w:shd w:val="clear" w:fill="0B6FA4"/>
          </w:tcPr>
          <w:p>
            <w:pPr>
              <w:spacing w:after="40"/>
            </w:pPr>
            <w:r/>
            <w:r>
              <w:rPr>
                <w:b/>
                <w:color w:val="FFFFFF"/>
                <w:sz w:val="19"/>
              </w:rPr>
              <w:t>Store</w:t>
            </w:r>
          </w:p>
        </w:tc>
        <w:tc>
          <w:tcPr>
            <w:tcW w:type="dxa" w:w="1872"/>
            <w:shd w:val="clear" w:fill="0B6FA4"/>
          </w:tcPr>
          <w:p>
            <w:pPr>
              <w:spacing w:after="40"/>
            </w:pPr>
            <w:r/>
            <w:r>
              <w:rPr>
                <w:b/>
                <w:color w:val="FFFFFF"/>
                <w:sz w:val="19"/>
              </w:rPr>
              <w:t>Reference size</w:t>
            </w:r>
          </w:p>
        </w:tc>
        <w:tc>
          <w:tcPr>
            <w:tcW w:type="dxa" w:w="5040"/>
            <w:shd w:val="clear" w:fill="0B6FA4"/>
          </w:tcPr>
          <w:p>
            <w:pPr>
              <w:spacing w:after="40"/>
            </w:pPr>
            <w:r/>
            <w:r>
              <w:rPr>
                <w:b/>
                <w:color w:val="FFFFFF"/>
                <w:sz w:val="19"/>
              </w:rPr>
              <w:t>Content</w:t>
            </w:r>
          </w:p>
        </w:tc>
      </w:tr>
      <w:tr>
        <w:tc>
          <w:tcPr>
            <w:tcW w:type="dxa" w:w="2592"/>
          </w:tcPr>
          <w:p>
            <w:pPr>
              <w:spacing w:after="40"/>
            </w:pPr>
            <w:r/>
            <w:r>
              <w:rPr>
                <w:sz w:val="19"/>
              </w:rPr>
              <w:t>Enriched event feed</w:t>
            </w:r>
          </w:p>
        </w:tc>
        <w:tc>
          <w:tcPr>
            <w:tcW w:type="dxa" w:w="1872"/>
          </w:tcPr>
          <w:p>
            <w:pPr>
              <w:spacing w:after="40"/>
            </w:pPr>
            <w:r/>
            <w:r>
              <w:rPr>
                <w:sz w:val="19"/>
              </w:rPr>
              <w:t>8.4 GB</w:t>
            </w:r>
          </w:p>
        </w:tc>
        <w:tc>
          <w:tcPr>
            <w:tcW w:type="dxa" w:w="5040"/>
          </w:tcPr>
          <w:p>
            <w:pPr>
              <w:spacing w:after="40"/>
            </w:pPr>
            <w:r/>
            <w:r>
              <w:rPr>
                <w:sz w:val="19"/>
              </w:rPr>
              <w:t>Live ingestion feed from the SIEM</w:t>
            </w:r>
          </w:p>
        </w:tc>
      </w:tr>
      <w:tr>
        <w:tc>
          <w:tcPr>
            <w:tcW w:type="dxa" w:w="2592"/>
            <w:shd w:val="clear" w:fill="F2F6F9"/>
          </w:tcPr>
          <w:p>
            <w:pPr>
              <w:spacing w:after="40"/>
            </w:pPr>
            <w:r/>
            <w:r>
              <w:rPr>
                <w:sz w:val="19"/>
              </w:rPr>
              <w:t>Vector index</w:t>
            </w:r>
          </w:p>
        </w:tc>
        <w:tc>
          <w:tcPr>
            <w:tcW w:type="dxa" w:w="1872"/>
            <w:shd w:val="clear" w:fill="F2F6F9"/>
          </w:tcPr>
          <w:p>
            <w:pPr>
              <w:spacing w:after="40"/>
            </w:pPr>
            <w:r/>
            <w:r>
              <w:rPr>
                <w:sz w:val="19"/>
              </w:rPr>
              <w:t>4.3 GB</w:t>
            </w:r>
          </w:p>
        </w:tc>
        <w:tc>
          <w:tcPr>
            <w:tcW w:type="dxa" w:w="5040"/>
            <w:shd w:val="clear" w:fill="F2F6F9"/>
          </w:tcPr>
          <w:p>
            <w:pPr>
              <w:spacing w:after="40"/>
            </w:pPr>
            <w:r/>
            <w:r>
              <w:rPr>
                <w:sz w:val="19"/>
              </w:rPr>
              <w:t>FAISS index and metadata for retrieval</w:t>
            </w:r>
          </w:p>
        </w:tc>
      </w:tr>
      <w:tr>
        <w:tc>
          <w:tcPr>
            <w:tcW w:type="dxa" w:w="2592"/>
          </w:tcPr>
          <w:p>
            <w:pPr>
              <w:spacing w:after="40"/>
            </w:pPr>
            <w:r/>
            <w:r>
              <w:rPr>
                <w:sz w:val="19"/>
              </w:rPr>
              <w:t>Alert archive</w:t>
            </w:r>
          </w:p>
        </w:tc>
        <w:tc>
          <w:tcPr>
            <w:tcW w:type="dxa" w:w="1872"/>
          </w:tcPr>
          <w:p>
            <w:pPr>
              <w:spacing w:after="40"/>
            </w:pPr>
            <w:r/>
            <w:r>
              <w:rPr>
                <w:sz w:val="19"/>
              </w:rPr>
              <w:t>2.0 GB</w:t>
            </w:r>
          </w:p>
        </w:tc>
        <w:tc>
          <w:tcPr>
            <w:tcW w:type="dxa" w:w="5040"/>
          </w:tcPr>
          <w:p>
            <w:pPr>
              <w:spacing w:after="40"/>
            </w:pPr>
            <w:r/>
            <w:r>
              <w:rPr>
                <w:sz w:val="19"/>
              </w:rPr>
              <w:t>Rotated and compressed daily alert history</w:t>
            </w:r>
          </w:p>
        </w:tc>
      </w:tr>
      <w:tr>
        <w:tc>
          <w:tcPr>
            <w:tcW w:type="dxa" w:w="2592"/>
            <w:shd w:val="clear" w:fill="F2F6F9"/>
          </w:tcPr>
          <w:p>
            <w:pPr>
              <w:spacing w:after="40"/>
            </w:pPr>
            <w:r/>
            <w:r>
              <w:rPr>
                <w:sz w:val="19"/>
              </w:rPr>
              <w:t>Entity profiles</w:t>
            </w:r>
          </w:p>
        </w:tc>
        <w:tc>
          <w:tcPr>
            <w:tcW w:type="dxa" w:w="1872"/>
            <w:shd w:val="clear" w:fill="F2F6F9"/>
          </w:tcPr>
          <w:p>
            <w:pPr>
              <w:spacing w:after="40"/>
            </w:pPr>
            <w:r/>
            <w:r>
              <w:rPr>
                <w:sz w:val="19"/>
              </w:rPr>
              <w:t>42 MB</w:t>
            </w:r>
          </w:p>
        </w:tc>
        <w:tc>
          <w:tcPr>
            <w:tcW w:type="dxa" w:w="5040"/>
            <w:shd w:val="clear" w:fill="F2F6F9"/>
          </w:tcPr>
          <w:p>
            <w:pPr>
              <w:spacing w:after="40"/>
            </w:pPr>
            <w:r/>
            <w:r>
              <w:rPr>
                <w:sz w:val="19"/>
              </w:rPr>
              <w:t>Per-entity behavioural profile store</w:t>
            </w:r>
          </w:p>
        </w:tc>
      </w:tr>
      <w:tr>
        <w:tc>
          <w:tcPr>
            <w:tcW w:type="dxa" w:w="2592"/>
          </w:tcPr>
          <w:p>
            <w:pPr>
              <w:spacing w:after="40"/>
            </w:pPr>
            <w:r/>
            <w:r>
              <w:rPr>
                <w:sz w:val="19"/>
              </w:rPr>
              <w:t>Models</w:t>
            </w:r>
          </w:p>
        </w:tc>
        <w:tc>
          <w:tcPr>
            <w:tcW w:type="dxa" w:w="1872"/>
          </w:tcPr>
          <w:p>
            <w:pPr>
              <w:spacing w:after="40"/>
            </w:pPr>
            <w:r/>
            <w:r>
              <w:rPr>
                <w:sz w:val="19"/>
              </w:rPr>
              <w:t>11 MB</w:t>
            </w:r>
          </w:p>
        </w:tc>
        <w:tc>
          <w:tcPr>
            <w:tcW w:type="dxa" w:w="5040"/>
          </w:tcPr>
          <w:p>
            <w:pPr>
              <w:spacing w:after="40"/>
            </w:pPr>
            <w:r/>
            <w:r>
              <w:rPr>
                <w:sz w:val="19"/>
              </w:rPr>
              <w:t>Isolation Forest, scaler and all autoencoders</w:t>
            </w:r>
          </w:p>
        </w:tc>
      </w:tr>
    </w:tbl>
    <w:p>
      <w:pPr>
        <w:spacing w:after="80"/>
      </w:pPr>
    </w:p>
    <w:p>
      <w:pPr>
        <w:spacing w:after="240"/>
      </w:pPr>
      <w:r>
        <w:rPr>
          <w:b w:val="0"/>
          <w:i/>
          <w:color w:val="5B6B7A"/>
          <w:sz w:val="18"/>
        </w:rPr>
        <w:t>Table 9.2 — Model artefacts are small; storage is dominated by retained event history and the retrieval index.</w:t>
      </w:r>
    </w:p>
    <w:p>
      <w:pPr>
        <w:pStyle w:val="Heading2"/>
      </w:pPr>
      <w:r>
        <w:t>9.3 Observed operating scale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4896"/>
            <w:shd w:val="clear" w:fill="0B6FA4"/>
          </w:tcPr>
          <w:p>
            <w:pPr>
              <w:spacing w:after="40"/>
            </w:pPr>
            <w:r/>
            <w:r>
              <w:rPr>
                <w:b/>
                <w:color w:val="FFFFFF"/>
                <w:sz w:val="19"/>
              </w:rPr>
              <w:t>Measure</w:t>
            </w:r>
          </w:p>
        </w:tc>
        <w:tc>
          <w:tcPr>
            <w:tcW w:type="dxa" w:w="4608"/>
            <w:shd w:val="clear" w:fill="0B6FA4"/>
          </w:tcPr>
          <w:p>
            <w:pPr>
              <w:spacing w:after="40"/>
            </w:pPr>
            <w:r/>
            <w:r>
              <w:rPr>
                <w:b/>
                <w:color w:val="FFFFFF"/>
                <w:sz w:val="19"/>
              </w:rPr>
              <w:t>Observed value</w:t>
            </w:r>
          </w:p>
        </w:tc>
      </w:tr>
      <w:tr>
        <w:tc>
          <w:tcPr>
            <w:tcW w:type="dxa" w:w="4896"/>
          </w:tcPr>
          <w:p>
            <w:pPr>
              <w:spacing w:after="40"/>
            </w:pPr>
            <w:r/>
            <w:r>
              <w:rPr>
                <w:sz w:val="19"/>
              </w:rPr>
              <w:t>Sustained ingestion throughput</w:t>
            </w:r>
          </w:p>
        </w:tc>
        <w:tc>
          <w:tcPr>
            <w:tcW w:type="dxa" w:w="4608"/>
          </w:tcPr>
          <w:p>
            <w:pPr>
              <w:spacing w:after="40"/>
            </w:pPr>
            <w:r/>
            <w:r>
              <w:rPr>
                <w:sz w:val="19"/>
              </w:rPr>
              <w:t>208 events/second</w:t>
            </w:r>
          </w:p>
        </w:tc>
      </w:tr>
      <w:tr>
        <w:tc>
          <w:tcPr>
            <w:tcW w:type="dxa" w:w="4896"/>
            <w:shd w:val="clear" w:fill="F2F6F9"/>
          </w:tcPr>
          <w:p>
            <w:pPr>
              <w:spacing w:after="40"/>
            </w:pPr>
            <w:r/>
            <w:r>
              <w:rPr>
                <w:sz w:val="19"/>
              </w:rPr>
              <w:t>Events held in the live enriched feed</w:t>
            </w:r>
          </w:p>
        </w:tc>
        <w:tc>
          <w:tcPr>
            <w:tcW w:type="dxa" w:w="4608"/>
            <w:shd w:val="clear" w:fill="F2F6F9"/>
          </w:tcPr>
          <w:p>
            <w:pPr>
              <w:spacing w:after="40"/>
            </w:pPr>
            <w:r/>
            <w:r>
              <w:rPr>
                <w:sz w:val="19"/>
              </w:rPr>
              <w:t>1,566,510</w:t>
            </w:r>
          </w:p>
        </w:tc>
      </w:tr>
      <w:tr>
        <w:tc>
          <w:tcPr>
            <w:tcW w:type="dxa" w:w="4896"/>
          </w:tcPr>
          <w:p>
            <w:pPr>
              <w:spacing w:after="40"/>
            </w:pPr>
            <w:r/>
            <w:r>
              <w:rPr>
                <w:sz w:val="19"/>
              </w:rPr>
              <w:t>Monitored endpoints reporting</w:t>
            </w:r>
          </w:p>
        </w:tc>
        <w:tc>
          <w:tcPr>
            <w:tcW w:type="dxa" w:w="4608"/>
          </w:tcPr>
          <w:p>
            <w:pPr>
              <w:spacing w:after="40"/>
            </w:pPr>
            <w:r/>
            <w:r>
              <w:rPr>
                <w:sz w:val="19"/>
              </w:rPr>
              <w:t>38</w:t>
            </w:r>
          </w:p>
        </w:tc>
      </w:tr>
      <w:tr>
        <w:tc>
          <w:tcPr>
            <w:tcW w:type="dxa" w:w="4896"/>
            <w:shd w:val="clear" w:fill="F2F6F9"/>
          </w:tcPr>
          <w:p>
            <w:pPr>
              <w:spacing w:after="40"/>
            </w:pPr>
            <w:r/>
            <w:r>
              <w:rPr>
                <w:sz w:val="19"/>
              </w:rPr>
              <w:t>Distinct entities modelled</w:t>
            </w:r>
          </w:p>
        </w:tc>
        <w:tc>
          <w:tcPr>
            <w:tcW w:type="dxa" w:w="4608"/>
            <w:shd w:val="clear" w:fill="F2F6F9"/>
          </w:tcPr>
          <w:p>
            <w:pPr>
              <w:spacing w:after="40"/>
            </w:pPr>
            <w:r/>
            <w:r>
              <w:rPr>
                <w:sz w:val="19"/>
              </w:rPr>
              <w:t>1,566</w:t>
            </w:r>
          </w:p>
        </w:tc>
      </w:tr>
      <w:tr>
        <w:tc>
          <w:tcPr>
            <w:tcW w:type="dxa" w:w="4896"/>
          </w:tcPr>
          <w:p>
            <w:pPr>
              <w:spacing w:after="40"/>
            </w:pPr>
            <w:r/>
            <w:r>
              <w:rPr>
                <w:sz w:val="19"/>
              </w:rPr>
              <w:t>Alerts raised over a seven-day window</w:t>
            </w:r>
          </w:p>
        </w:tc>
        <w:tc>
          <w:tcPr>
            <w:tcW w:type="dxa" w:w="4608"/>
          </w:tcPr>
          <w:p>
            <w:pPr>
              <w:spacing w:after="40"/>
            </w:pPr>
            <w:r/>
            <w:r>
              <w:rPr>
                <w:sz w:val="19"/>
              </w:rPr>
              <w:t>70,542</w:t>
            </w:r>
          </w:p>
        </w:tc>
      </w:tr>
      <w:tr>
        <w:tc>
          <w:tcPr>
            <w:tcW w:type="dxa" w:w="4896"/>
            <w:shd w:val="clear" w:fill="F2F6F9"/>
          </w:tcPr>
          <w:p>
            <w:pPr>
              <w:spacing w:after="40"/>
            </w:pPr>
            <w:r/>
            <w:r>
              <w:rPr>
                <w:sz w:val="19"/>
              </w:rPr>
              <w:t>Correlated campaigns in that window</w:t>
            </w:r>
          </w:p>
        </w:tc>
        <w:tc>
          <w:tcPr>
            <w:tcW w:type="dxa" w:w="4608"/>
            <w:shd w:val="clear" w:fill="F2F6F9"/>
          </w:tcPr>
          <w:p>
            <w:pPr>
              <w:spacing w:after="40"/>
            </w:pPr>
            <w:r/>
            <w:r>
              <w:rPr>
                <w:sz w:val="19"/>
              </w:rPr>
              <w:t>79</w:t>
            </w:r>
          </w:p>
        </w:tc>
      </w:tr>
      <w:tr>
        <w:tc>
          <w:tcPr>
            <w:tcW w:type="dxa" w:w="4896"/>
          </w:tcPr>
          <w:p>
            <w:pPr>
              <w:spacing w:after="40"/>
            </w:pPr>
            <w:r/>
            <w:r>
              <w:rPr>
                <w:sz w:val="19"/>
              </w:rPr>
              <w:t>Console load time</w:t>
            </w:r>
          </w:p>
        </w:tc>
        <w:tc>
          <w:tcPr>
            <w:tcW w:type="dxa" w:w="4608"/>
          </w:tcPr>
          <w:p>
            <w:pPr>
              <w:spacing w:after="40"/>
            </w:pPr>
            <w:r/>
            <w:r>
              <w:rPr>
                <w:sz w:val="19"/>
              </w:rPr>
              <w:t>Approximately 0.7 seconds</w:t>
            </w:r>
          </w:p>
        </w:tc>
      </w:tr>
    </w:tbl>
    <w:p>
      <w:pPr>
        <w:spacing w:after="80"/>
      </w:pPr>
    </w:p>
    <w:p>
      <w:pPr>
        <w:spacing w:after="240"/>
      </w:pPr>
      <w:r>
        <w:rPr>
          <w:b w:val="0"/>
          <w:i/>
          <w:color w:val="5B6B7A"/>
          <w:sz w:val="18"/>
        </w:rPr>
        <w:t>Table 9.3 — Figures measured on the reference deployment. Alert volumes are a function of estate size, tuning maturity and threshold configuration, and should be expected to differ between installations.</w:t>
      </w:r>
    </w:p>
    <w:p>
      <w:pPr>
        <w:pStyle w:val="Heading2"/>
      </w:pPr>
      <w:r>
        <w:t>9.4 Operational characteristics</w:t>
      </w:r>
    </w:p>
    <w:p>
      <w:pPr>
        <w:pStyle w:val="ListBullet"/>
        <w:spacing w:after="60"/>
      </w:pPr>
      <w:r>
        <w:rPr>
          <w:b/>
          <w:sz w:val="21"/>
        </w:rPr>
        <w:t xml:space="preserve">Resumable ingestion. </w:t>
      </w:r>
      <w:r>
        <w:rPr>
          <w:sz w:val="21"/>
        </w:rPr>
        <w:t>The engine and transport both persist their position, so a restart neither re-scores nor skips events.</w:t>
      </w:r>
    </w:p>
    <w:p>
      <w:pPr>
        <w:pStyle w:val="ListBullet"/>
        <w:spacing w:after="60"/>
      </w:pPr>
      <w:r>
        <w:rPr>
          <w:b/>
          <w:sz w:val="21"/>
        </w:rPr>
        <w:t xml:space="preserve">Hot configuration. </w:t>
      </w:r>
      <w:r>
        <w:rPr>
          <w:sz w:val="21"/>
        </w:rPr>
        <w:t>Suppression patterns and watch lists are reloaded on change; operational tuning does not require a restart.</w:t>
      </w:r>
    </w:p>
    <w:p>
      <w:pPr>
        <w:pStyle w:val="ListBullet"/>
        <w:spacing w:after="60"/>
      </w:pPr>
      <w:r>
        <w:rPr>
          <w:b/>
          <w:sz w:val="21"/>
        </w:rPr>
        <w:t xml:space="preserve">Bounded growth. </w:t>
      </w:r>
      <w:r>
        <w:rPr>
          <w:sz w:val="21"/>
        </w:rPr>
        <w:t>Alert history is rotated and compressed daily, the training corpus is pruned to a rolling window, and generated reports are capped by both count and total size.</w:t>
      </w:r>
    </w:p>
    <w:p>
      <w:pPr>
        <w:pStyle w:val="ListBullet"/>
        <w:spacing w:after="60"/>
      </w:pPr>
      <w:r>
        <w:rPr>
          <w:b/>
          <w:sz w:val="21"/>
        </w:rPr>
        <w:t xml:space="preserve">Graceful degradation. </w:t>
      </w:r>
      <w:r>
        <w:rPr>
          <w:sz w:val="21"/>
        </w:rPr>
        <w:t>Optional components fail closed and in isolation: absent geolocation data disables the map without affecting detection, and absent document libraries reduce the available report formats rather than preventing reporting.</w:t>
      </w:r>
    </w:p>
    <w:p>
      <w:r>
        <w:br w:type="page"/>
      </w:r>
    </w:p>
    <w:p>
      <w:pPr>
        <w:pStyle w:val="Heading1"/>
      </w:pPr>
      <w:r>
        <w:t>10. Current Capability Statement</w:t>
      </w:r>
    </w:p>
    <w:p>
      <w:pPr>
        <w:spacing w:after="120"/>
      </w:pPr>
      <w:r>
        <w:rPr>
          <w:b w:val="0"/>
          <w:i/>
          <w:color w:val="5B6B7A"/>
          <w:sz w:val="20"/>
        </w:rPr>
        <w:t>The following is an accurate statement of what is implemented today. It is included so that scope can be discussed against fact rather than inference.</w:t>
      </w:r>
    </w:p>
    <w:p>
      <w:pPr>
        <w:pStyle w:val="Heading2"/>
      </w:pPr>
      <w:r>
        <w:t>10.1 Implemented and in service</w:t>
      </w:r>
    </w:p>
    <w:p>
      <w:pPr>
        <w:pStyle w:val="ListBullet"/>
        <w:spacing w:after="60"/>
      </w:pPr>
      <w:r>
        <w:rPr>
          <w:sz w:val="21"/>
        </w:rPr>
        <w:t>Unsupervised detection across four analytical layers, with per-entity baselines</w:t>
      </w:r>
    </w:p>
    <w:p>
      <w:pPr>
        <w:pStyle w:val="ListBullet"/>
        <w:spacing w:after="60"/>
      </w:pPr>
      <w:r>
        <w:rPr>
          <w:sz w:val="21"/>
        </w:rPr>
        <w:t>Campaign correlation and similar-anomaly retrieval</w:t>
      </w:r>
    </w:p>
    <w:p>
      <w:pPr>
        <w:pStyle w:val="ListBullet"/>
        <w:spacing w:after="60"/>
      </w:pPr>
      <w:r>
        <w:rPr>
          <w:sz w:val="21"/>
        </w:rPr>
        <w:t>Investigation console with evidence, entity, endpoint, campaign and incident views</w:t>
      </w:r>
    </w:p>
    <w:p>
      <w:pPr>
        <w:pStyle w:val="ListBullet"/>
        <w:spacing w:after="60"/>
      </w:pPr>
      <w:r>
        <w:rPr>
          <w:sz w:val="21"/>
        </w:rPr>
        <w:t>False-positive marking and pattern-based auto-suppression</w:t>
      </w:r>
    </w:p>
    <w:p>
      <w:pPr>
        <w:pStyle w:val="ListBullet"/>
        <w:spacing w:after="60"/>
      </w:pPr>
      <w:r>
        <w:rPr>
          <w:sz w:val="21"/>
        </w:rPr>
        <w:t>Watch lists with score elevation and full provenance on resulting alerts</w:t>
      </w:r>
    </w:p>
    <w:p>
      <w:pPr>
        <w:pStyle w:val="ListBullet"/>
        <w:spacing w:after="60"/>
      </w:pPr>
      <w:r>
        <w:rPr>
          <w:sz w:val="21"/>
        </w:rPr>
        <w:t>Out-of-the-box, custom and scheduled reporting in six output formats</w:t>
      </w:r>
    </w:p>
    <w:p>
      <w:pPr>
        <w:pStyle w:val="ListBullet"/>
        <w:spacing w:after="60"/>
      </w:pPr>
      <w:r>
        <w:rPr>
          <w:sz w:val="21"/>
        </w:rPr>
        <w:t>Email delivery of scheduled reports (requires an SMTP relay to be configured)</w:t>
      </w:r>
    </w:p>
    <w:p>
      <w:pPr>
        <w:pStyle w:val="ListBullet"/>
        <w:spacing w:after="60"/>
      </w:pPr>
      <w:r>
        <w:rPr>
          <w:sz w:val="21"/>
        </w:rPr>
        <w:t>Append-only audit trail of all state-changing actions</w:t>
      </w:r>
    </w:p>
    <w:p>
      <w:pPr>
        <w:pStyle w:val="ListBullet"/>
        <w:spacing w:after="60"/>
      </w:pPr>
      <w:r>
        <w:rPr>
          <w:sz w:val="21"/>
        </w:rPr>
        <w:t>Single sign-on through signed JWT assertions</w:t>
      </w:r>
    </w:p>
    <w:p>
      <w:pPr>
        <w:pStyle w:val="ListBullet"/>
        <w:spacing w:after="60"/>
      </w:pPr>
      <w:r>
        <w:rPr>
          <w:sz w:val="21"/>
        </w:rPr>
        <w:t>Live geolocated threat map from firewall telemetry</w:t>
      </w:r>
    </w:p>
    <w:p>
      <w:pPr>
        <w:pStyle w:val="Heading2"/>
      </w:pPr>
      <w:r>
        <w:t>10.2 Available but not yet activated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736"/>
            <w:shd w:val="clear" w:fill="0B6FA4"/>
          </w:tcPr>
          <w:p>
            <w:pPr>
              <w:spacing w:after="40"/>
            </w:pPr>
            <w:r/>
            <w:r>
              <w:rPr>
                <w:b/>
                <w:color w:val="FFFFFF"/>
                <w:sz w:val="19"/>
              </w:rPr>
              <w:t>Capability</w:t>
            </w:r>
          </w:p>
        </w:tc>
        <w:tc>
          <w:tcPr>
            <w:tcW w:type="dxa" w:w="6768"/>
            <w:shd w:val="clear" w:fill="0B6FA4"/>
          </w:tcPr>
          <w:p>
            <w:pPr>
              <w:spacing w:after="40"/>
            </w:pPr>
            <w:r/>
            <w:r>
              <w:rPr>
                <w:b/>
                <w:color w:val="FFFFFF"/>
                <w:sz w:val="19"/>
              </w:rPr>
              <w:t>Status</w:t>
            </w:r>
          </w:p>
        </w:tc>
      </w:tr>
      <w:tr>
        <w:tc>
          <w:tcPr>
            <w:tcW w:type="dxa" w:w="2736"/>
          </w:tcPr>
          <w:p>
            <w:pPr>
              <w:spacing w:after="40"/>
            </w:pPr>
            <w:r/>
            <w:r>
              <w:rPr>
                <w:sz w:val="19"/>
              </w:rPr>
              <w:t>SSO enforcement</w:t>
            </w:r>
          </w:p>
        </w:tc>
        <w:tc>
          <w:tcPr>
            <w:tcW w:type="dxa" w:w="6768"/>
          </w:tcPr>
          <w:p>
            <w:pPr>
              <w:spacing w:after="40"/>
            </w:pPr>
            <w:r/>
            <w:r>
              <w:rPr>
                <w:sz w:val="19"/>
              </w:rPr>
              <w:t>Implemented and verified end to end, but not currently enforcing. Activation requires the identity provider to complete the redirect contract.</w:t>
            </w:r>
          </w:p>
        </w:tc>
      </w:tr>
      <w:tr>
        <w:tc>
          <w:tcPr>
            <w:tcW w:type="dxa" w:w="2736"/>
            <w:shd w:val="clear" w:fill="F2F6F9"/>
          </w:tcPr>
          <w:p>
            <w:pPr>
              <w:spacing w:after="40"/>
            </w:pPr>
            <w:r/>
            <w:r>
              <w:rPr>
                <w:sz w:val="19"/>
              </w:rPr>
              <w:t>Email report delivery</w:t>
            </w:r>
          </w:p>
        </w:tc>
        <w:tc>
          <w:tcPr>
            <w:tcW w:type="dxa" w:w="6768"/>
            <w:shd w:val="clear" w:fill="F2F6F9"/>
          </w:tcPr>
          <w:p>
            <w:pPr>
              <w:spacing w:after="40"/>
            </w:pPr>
            <w:r/>
            <w:r>
              <w:rPr>
                <w:sz w:val="19"/>
              </w:rPr>
              <w:t>Implemented and verified against a test relay. Requires client SMTP details to become operational.</w:t>
            </w:r>
          </w:p>
        </w:tc>
      </w:tr>
      <w:tr>
        <w:tc>
          <w:tcPr>
            <w:tcW w:type="dxa" w:w="2736"/>
          </w:tcPr>
          <w:p>
            <w:pPr>
              <w:spacing w:after="40"/>
            </w:pPr>
            <w:r/>
            <w:r>
              <w:rPr>
                <w:sz w:val="19"/>
              </w:rPr>
              <w:t>AI-assisted alert narrative</w:t>
            </w:r>
          </w:p>
        </w:tc>
        <w:tc>
          <w:tcPr>
            <w:tcW w:type="dxa" w:w="6768"/>
          </w:tcPr>
          <w:p>
            <w:pPr>
              <w:spacing w:after="40"/>
            </w:pPr>
            <w:r/>
            <w:r>
              <w:rPr>
                <w:sz w:val="19"/>
              </w:rPr>
              <w:t>Implemented but disabled by default, and intentionally so: enabling it would send event-derived content to an external provider.</w:t>
            </w:r>
          </w:p>
        </w:tc>
      </w:tr>
    </w:tbl>
    <w:p>
      <w:pPr>
        <w:spacing w:after="80"/>
      </w:pPr>
    </w:p>
    <w:p>
      <w:pPr>
        <w:pStyle w:val="Heading2"/>
      </w:pPr>
      <w:r>
        <w:t>10.3 Not implemented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312"/>
            <w:shd w:val="clear" w:fill="0B6FA4"/>
          </w:tcPr>
          <w:p>
            <w:pPr>
              <w:spacing w:after="40"/>
            </w:pPr>
            <w:r/>
            <w:r>
              <w:rPr>
                <w:b/>
                <w:color w:val="FFFFFF"/>
                <w:sz w:val="19"/>
              </w:rPr>
              <w:t>Capability</w:t>
            </w:r>
          </w:p>
        </w:tc>
        <w:tc>
          <w:tcPr>
            <w:tcW w:type="dxa" w:w="6192"/>
            <w:shd w:val="clear" w:fill="0B6FA4"/>
          </w:tcPr>
          <w:p>
            <w:pPr>
              <w:spacing w:after="40"/>
            </w:pPr>
            <w:r/>
            <w:r>
              <w:rPr>
                <w:b/>
                <w:color w:val="FFFFFF"/>
                <w:sz w:val="19"/>
              </w:rPr>
              <w:t>Position</w:t>
            </w:r>
          </w:p>
        </w:tc>
      </w:tr>
      <w:tr>
        <w:tc>
          <w:tcPr>
            <w:tcW w:type="dxa" w:w="3312"/>
          </w:tcPr>
          <w:p>
            <w:pPr>
              <w:spacing w:after="40"/>
            </w:pPr>
            <w:r/>
            <w:r>
              <w:rPr>
                <w:sz w:val="19"/>
              </w:rPr>
              <w:t>Supervised detection models</w:t>
            </w:r>
          </w:p>
        </w:tc>
        <w:tc>
          <w:tcPr>
            <w:tcW w:type="dxa" w:w="6192"/>
          </w:tcPr>
          <w:p>
            <w:pPr>
              <w:spacing w:after="40"/>
            </w:pPr>
            <w:r/>
            <w:r>
              <w:rPr>
                <w:sz w:val="19"/>
              </w:rPr>
              <w:t>Requires labelled incident history, which does not exist at a new installation. Candidate for a later phase once analyst dispositions have accumulated.</w:t>
            </w:r>
          </w:p>
        </w:tc>
      </w:tr>
      <w:tr>
        <w:tc>
          <w:tcPr>
            <w:tcW w:type="dxa" w:w="3312"/>
            <w:shd w:val="clear" w:fill="F2F6F9"/>
          </w:tcPr>
          <w:p>
            <w:pPr>
              <w:spacing w:after="40"/>
            </w:pPr>
            <w:r/>
            <w:r>
              <w:rPr>
                <w:sz w:val="19"/>
              </w:rPr>
              <w:t>Peer-group deviation analysis</w:t>
            </w:r>
          </w:p>
        </w:tc>
        <w:tc>
          <w:tcPr>
            <w:tcW w:type="dxa" w:w="6192"/>
            <w:shd w:val="clear" w:fill="F2F6F9"/>
          </w:tcPr>
          <w:p>
            <w:pPr>
              <w:spacing w:after="40"/>
            </w:pPr>
            <w:r/>
            <w:r>
              <w:rPr>
                <w:sz w:val="19"/>
              </w:rPr>
              <w:t>Requires organisational structure from a directory or HR source to define cohorts.</w:t>
            </w:r>
          </w:p>
        </w:tc>
      </w:tr>
      <w:tr>
        <w:tc>
          <w:tcPr>
            <w:tcW w:type="dxa" w:w="3312"/>
          </w:tcPr>
          <w:p>
            <w:pPr>
              <w:spacing w:after="40"/>
            </w:pPr>
            <w:r/>
            <w:r>
              <w:rPr>
                <w:sz w:val="19"/>
              </w:rPr>
              <w:t>High availability without a single point of failure</w:t>
            </w:r>
          </w:p>
        </w:tc>
        <w:tc>
          <w:tcPr>
            <w:tcW w:type="dxa" w:w="6192"/>
          </w:tcPr>
          <w:p>
            <w:pPr>
              <w:spacing w:after="40"/>
            </w:pPr>
            <w:r/>
            <w:r>
              <w:rPr>
                <w:sz w:val="19"/>
              </w:rPr>
              <w:t>The current architecture is single-instance. High availability is an architectural change, not a configuration option.</w:t>
            </w:r>
          </w:p>
        </w:tc>
      </w:tr>
      <w:tr>
        <w:tc>
          <w:tcPr>
            <w:tcW w:type="dxa" w:w="3312"/>
            <w:shd w:val="clear" w:fill="F2F6F9"/>
          </w:tcPr>
          <w:p>
            <w:pPr>
              <w:spacing w:after="40"/>
            </w:pPr>
            <w:r/>
            <w:r>
              <w:rPr>
                <w:sz w:val="19"/>
              </w:rPr>
              <w:t>Network flow (NetFlow) ingestion</w:t>
            </w:r>
          </w:p>
        </w:tc>
        <w:tc>
          <w:tcPr>
            <w:tcW w:type="dxa" w:w="6192"/>
            <w:shd w:val="clear" w:fill="F2F6F9"/>
          </w:tcPr>
          <w:p>
            <w:pPr>
              <w:spacing w:after="40"/>
            </w:pPr>
            <w:r/>
            <w:r>
              <w:rPr>
                <w:sz w:val="19"/>
              </w:rPr>
              <w:t>Not supported; the platform consumes SIEM-normalised events.</w:t>
            </w:r>
          </w:p>
        </w:tc>
      </w:tr>
    </w:tbl>
    <w:p>
      <w:pPr>
        <w:spacing w:after="80"/>
      </w:pPr>
    </w:p>
    <w:p>
      <w:r>
        <w:br w:type="page"/>
      </w:r>
    </w:p>
    <w:p>
      <w:pPr>
        <w:pStyle w:val="Heading1"/>
      </w:pPr>
      <w:r>
        <w:t>Appendix A — Component Reference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168"/>
            <w:shd w:val="clear" w:fill="0B6FA4"/>
          </w:tcPr>
          <w:p>
            <w:pPr>
              <w:spacing w:after="40"/>
            </w:pPr>
            <w:r/>
            <w:r>
              <w:rPr>
                <w:b/>
                <w:color w:val="FFFFFF"/>
                <w:sz w:val="19"/>
              </w:rPr>
              <w:t>Module</w:t>
            </w:r>
          </w:p>
        </w:tc>
        <w:tc>
          <w:tcPr>
            <w:tcW w:type="dxa" w:w="1440"/>
            <w:shd w:val="clear" w:fill="0B6FA4"/>
          </w:tcPr>
          <w:p>
            <w:pPr>
              <w:spacing w:after="40"/>
            </w:pPr>
            <w:r/>
            <w:r>
              <w:rPr>
                <w:b/>
                <w:color w:val="FFFFFF"/>
                <w:sz w:val="19"/>
              </w:rPr>
              <w:t>Size</w:t>
            </w:r>
          </w:p>
        </w:tc>
        <w:tc>
          <w:tcPr>
            <w:tcW w:type="dxa" w:w="4896"/>
            <w:shd w:val="clear" w:fill="0B6FA4"/>
          </w:tcPr>
          <w:p>
            <w:pPr>
              <w:spacing w:after="40"/>
            </w:pPr>
            <w:r/>
            <w:r>
              <w:rPr>
                <w:b/>
                <w:color w:val="FFFFFF"/>
                <w:sz w:val="19"/>
              </w:rPr>
              <w:t>Responsibility</w:t>
            </w:r>
          </w:p>
        </w:tc>
      </w:tr>
      <w:tr>
        <w:tc>
          <w:tcPr>
            <w:tcW w:type="dxa" w:w="3168"/>
          </w:tcPr>
          <w:p>
            <w:pPr>
              <w:spacing w:after="40"/>
            </w:pPr>
            <w:r/>
            <w:r>
              <w:rPr>
                <w:sz w:val="19"/>
              </w:rPr>
              <w:t>ueba_dashboard_server.py</w:t>
            </w:r>
          </w:p>
        </w:tc>
        <w:tc>
          <w:tcPr>
            <w:tcW w:type="dxa" w:w="1440"/>
          </w:tcPr>
          <w:p>
            <w:pPr>
              <w:spacing w:after="40"/>
            </w:pPr>
            <w:r/>
            <w:r>
              <w:rPr>
                <w:sz w:val="19"/>
              </w:rPr>
              <w:t>3,974 lines</w:t>
            </w:r>
          </w:p>
        </w:tc>
        <w:tc>
          <w:tcPr>
            <w:tcW w:type="dxa" w:w="4896"/>
          </w:tcPr>
          <w:p>
            <w:pPr>
              <w:spacing w:after="40"/>
            </w:pPr>
            <w:r/>
            <w:r>
              <w:rPr>
                <w:sz w:val="19"/>
              </w:rPr>
              <w:t>Console, REST API, caching, reporting endpoints, audit trail</w:t>
            </w:r>
          </w:p>
        </w:tc>
      </w:tr>
      <w:tr>
        <w:tc>
          <w:tcPr>
            <w:tcW w:type="dxa" w:w="3168"/>
            <w:shd w:val="clear" w:fill="F2F6F9"/>
          </w:tcPr>
          <w:p>
            <w:pPr>
              <w:spacing w:after="40"/>
            </w:pPr>
            <w:r/>
            <w:r>
              <w:rPr>
                <w:sz w:val="19"/>
              </w:rPr>
              <w:t>ueba_preprocessor.py</w:t>
            </w:r>
          </w:p>
        </w:tc>
        <w:tc>
          <w:tcPr>
            <w:tcW w:type="dxa" w:w="1440"/>
            <w:shd w:val="clear" w:fill="F2F6F9"/>
          </w:tcPr>
          <w:p>
            <w:pPr>
              <w:spacing w:after="40"/>
            </w:pPr>
            <w:r/>
            <w:r>
              <w:rPr>
                <w:sz w:val="19"/>
              </w:rPr>
              <w:t>1,183 lines</w:t>
            </w:r>
          </w:p>
        </w:tc>
        <w:tc>
          <w:tcPr>
            <w:tcW w:type="dxa" w:w="4896"/>
            <w:shd w:val="clear" w:fill="F2F6F9"/>
          </w:tcPr>
          <w:p>
            <w:pPr>
              <w:spacing w:after="40"/>
            </w:pPr>
            <w:r/>
            <w:r>
              <w:rPr>
                <w:sz w:val="19"/>
              </w:rPr>
              <w:t>Feature extraction, entity resolution, noise suppression, profile store</w:t>
            </w:r>
          </w:p>
        </w:tc>
      </w:tr>
      <w:tr>
        <w:tc>
          <w:tcPr>
            <w:tcW w:type="dxa" w:w="3168"/>
          </w:tcPr>
          <w:p>
            <w:pPr>
              <w:spacing w:after="40"/>
            </w:pPr>
            <w:r/>
            <w:r>
              <w:rPr>
                <w:sz w:val="19"/>
              </w:rPr>
              <w:t>ueba_engine.py</w:t>
            </w:r>
          </w:p>
        </w:tc>
        <w:tc>
          <w:tcPr>
            <w:tcW w:type="dxa" w:w="1440"/>
          </w:tcPr>
          <w:p>
            <w:pPr>
              <w:spacing w:after="40"/>
            </w:pPr>
            <w:r/>
            <w:r>
              <w:rPr>
                <w:sz w:val="19"/>
              </w:rPr>
              <w:t>1,101 lines</w:t>
            </w:r>
          </w:p>
        </w:tc>
        <w:tc>
          <w:tcPr>
            <w:tcW w:type="dxa" w:w="4896"/>
          </w:tcPr>
          <w:p>
            <w:pPr>
              <w:spacing w:after="40"/>
            </w:pPr>
            <w:r/>
            <w:r>
              <w:rPr>
                <w:sz w:val="19"/>
              </w:rPr>
              <w:t>Streaming detection, score fusion, alert emission, evidence assembly</w:t>
            </w:r>
          </w:p>
        </w:tc>
      </w:tr>
      <w:tr>
        <w:tc>
          <w:tcPr>
            <w:tcW w:type="dxa" w:w="3168"/>
            <w:shd w:val="clear" w:fill="F2F6F9"/>
          </w:tcPr>
          <w:p>
            <w:pPr>
              <w:spacing w:after="40"/>
            </w:pPr>
            <w:r/>
            <w:r>
              <w:rPr>
                <w:sz w:val="19"/>
              </w:rPr>
              <w:t>ueba_trainer.py</w:t>
            </w:r>
          </w:p>
        </w:tc>
        <w:tc>
          <w:tcPr>
            <w:tcW w:type="dxa" w:w="1440"/>
            <w:shd w:val="clear" w:fill="F2F6F9"/>
          </w:tcPr>
          <w:p>
            <w:pPr>
              <w:spacing w:after="40"/>
            </w:pPr>
            <w:r/>
            <w:r>
              <w:rPr>
                <w:sz w:val="19"/>
              </w:rPr>
              <w:t>792 lines</w:t>
            </w:r>
          </w:p>
        </w:tc>
        <w:tc>
          <w:tcPr>
            <w:tcW w:type="dxa" w:w="4896"/>
            <w:shd w:val="clear" w:fill="F2F6F9"/>
          </w:tcPr>
          <w:p>
            <w:pPr>
              <w:spacing w:after="40"/>
            </w:pPr>
            <w:r/>
            <w:r>
              <w:rPr>
                <w:sz w:val="19"/>
              </w:rPr>
              <w:t>Model training and threshold calibration</w:t>
            </w:r>
          </w:p>
        </w:tc>
      </w:tr>
      <w:tr>
        <w:tc>
          <w:tcPr>
            <w:tcW w:type="dxa" w:w="3168"/>
          </w:tcPr>
          <w:p>
            <w:pPr>
              <w:spacing w:after="40"/>
            </w:pPr>
            <w:r/>
            <w:r>
              <w:rPr>
                <w:sz w:val="19"/>
              </w:rPr>
              <w:t>ueba_auth.py</w:t>
            </w:r>
          </w:p>
        </w:tc>
        <w:tc>
          <w:tcPr>
            <w:tcW w:type="dxa" w:w="1440"/>
          </w:tcPr>
          <w:p>
            <w:pPr>
              <w:spacing w:after="40"/>
            </w:pPr>
            <w:r/>
            <w:r>
              <w:rPr>
                <w:sz w:val="19"/>
              </w:rPr>
              <w:t>773 lines</w:t>
            </w:r>
          </w:p>
        </w:tc>
        <w:tc>
          <w:tcPr>
            <w:tcW w:type="dxa" w:w="4896"/>
          </w:tcPr>
          <w:p>
            <w:pPr>
              <w:spacing w:after="40"/>
            </w:pPr>
            <w:r/>
            <w:r>
              <w:rPr>
                <w:sz w:val="19"/>
              </w:rPr>
              <w:t>SSO, sessions and role enforcement</w:t>
            </w:r>
          </w:p>
        </w:tc>
      </w:tr>
      <w:tr>
        <w:tc>
          <w:tcPr>
            <w:tcW w:type="dxa" w:w="3168"/>
            <w:shd w:val="clear" w:fill="F2F6F9"/>
          </w:tcPr>
          <w:p>
            <w:pPr>
              <w:spacing w:after="40"/>
            </w:pPr>
            <w:r/>
            <w:r>
              <w:rPr>
                <w:sz w:val="19"/>
              </w:rPr>
              <w:t>ueba_reports.py</w:t>
            </w:r>
          </w:p>
        </w:tc>
        <w:tc>
          <w:tcPr>
            <w:tcW w:type="dxa" w:w="1440"/>
            <w:shd w:val="clear" w:fill="F2F6F9"/>
          </w:tcPr>
          <w:p>
            <w:pPr>
              <w:spacing w:after="40"/>
            </w:pPr>
            <w:r/>
            <w:r>
              <w:rPr>
                <w:sz w:val="19"/>
              </w:rPr>
              <w:t>691 lines</w:t>
            </w:r>
          </w:p>
        </w:tc>
        <w:tc>
          <w:tcPr>
            <w:tcW w:type="dxa" w:w="4896"/>
            <w:shd w:val="clear" w:fill="F2F6F9"/>
          </w:tcPr>
          <w:p>
            <w:pPr>
              <w:spacing w:after="40"/>
            </w:pPr>
            <w:r/>
            <w:r>
              <w:rPr>
                <w:sz w:val="19"/>
              </w:rPr>
              <w:t>Report composition and section catalogue</w:t>
            </w:r>
          </w:p>
        </w:tc>
      </w:tr>
      <w:tr>
        <w:tc>
          <w:tcPr>
            <w:tcW w:type="dxa" w:w="3168"/>
          </w:tcPr>
          <w:p>
            <w:pPr>
              <w:spacing w:after="40"/>
            </w:pPr>
            <w:r/>
            <w:r>
              <w:rPr>
                <w:sz w:val="19"/>
              </w:rPr>
              <w:t>ueba_report_render.py</w:t>
            </w:r>
          </w:p>
        </w:tc>
        <w:tc>
          <w:tcPr>
            <w:tcW w:type="dxa" w:w="1440"/>
          </w:tcPr>
          <w:p>
            <w:pPr>
              <w:spacing w:after="40"/>
            </w:pPr>
            <w:r/>
            <w:r>
              <w:rPr>
                <w:sz w:val="19"/>
              </w:rPr>
              <w:t>557 lines</w:t>
            </w:r>
          </w:p>
        </w:tc>
        <w:tc>
          <w:tcPr>
            <w:tcW w:type="dxa" w:w="4896"/>
          </w:tcPr>
          <w:p>
            <w:pPr>
              <w:spacing w:after="40"/>
            </w:pPr>
            <w:r/>
            <w:r>
              <w:rPr>
                <w:sz w:val="19"/>
              </w:rPr>
              <w:t>PDF, Excel, CSV, HTML, JSON and XML rendering</w:t>
            </w:r>
          </w:p>
        </w:tc>
      </w:tr>
      <w:tr>
        <w:tc>
          <w:tcPr>
            <w:tcW w:type="dxa" w:w="3168"/>
            <w:shd w:val="clear" w:fill="F2F6F9"/>
          </w:tcPr>
          <w:p>
            <w:pPr>
              <w:spacing w:after="40"/>
            </w:pPr>
            <w:r/>
            <w:r>
              <w:rPr>
                <w:sz w:val="19"/>
              </w:rPr>
              <w:t>ueba_report_store.py</w:t>
            </w:r>
          </w:p>
        </w:tc>
        <w:tc>
          <w:tcPr>
            <w:tcW w:type="dxa" w:w="1440"/>
            <w:shd w:val="clear" w:fill="F2F6F9"/>
          </w:tcPr>
          <w:p>
            <w:pPr>
              <w:spacing w:after="40"/>
            </w:pPr>
            <w:r/>
            <w:r>
              <w:rPr>
                <w:sz w:val="19"/>
              </w:rPr>
              <w:t>510 lines</w:t>
            </w:r>
          </w:p>
        </w:tc>
        <w:tc>
          <w:tcPr>
            <w:tcW w:type="dxa" w:w="4896"/>
            <w:shd w:val="clear" w:fill="F2F6F9"/>
          </w:tcPr>
          <w:p>
            <w:pPr>
              <w:spacing w:after="40"/>
            </w:pPr>
            <w:r/>
            <w:r>
              <w:rPr>
                <w:sz w:val="19"/>
              </w:rPr>
              <w:t>Custom reports, scheduling, delivery, artefact retention</w:t>
            </w:r>
          </w:p>
        </w:tc>
      </w:tr>
      <w:tr>
        <w:tc>
          <w:tcPr>
            <w:tcW w:type="dxa" w:w="3168"/>
          </w:tcPr>
          <w:p>
            <w:pPr>
              <w:spacing w:after="40"/>
            </w:pPr>
            <w:r/>
            <w:r>
              <w:rPr>
                <w:sz w:val="19"/>
              </w:rPr>
              <w:t>ueba_prepare_training_data.py</w:t>
            </w:r>
          </w:p>
        </w:tc>
        <w:tc>
          <w:tcPr>
            <w:tcW w:type="dxa" w:w="1440"/>
          </w:tcPr>
          <w:p>
            <w:pPr>
              <w:spacing w:after="40"/>
            </w:pPr>
            <w:r/>
            <w:r>
              <w:rPr>
                <w:sz w:val="19"/>
              </w:rPr>
              <w:t>379 lines</w:t>
            </w:r>
          </w:p>
        </w:tc>
        <w:tc>
          <w:tcPr>
            <w:tcW w:type="dxa" w:w="4896"/>
          </w:tcPr>
          <w:p>
            <w:pPr>
              <w:spacing w:after="40"/>
            </w:pPr>
            <w:r/>
            <w:r>
              <w:rPr>
                <w:sz w:val="19"/>
              </w:rPr>
              <w:t>Training dataset assembly</w:t>
            </w:r>
          </w:p>
        </w:tc>
      </w:tr>
      <w:tr>
        <w:tc>
          <w:tcPr>
            <w:tcW w:type="dxa" w:w="3168"/>
            <w:shd w:val="clear" w:fill="F2F6F9"/>
          </w:tcPr>
          <w:p>
            <w:pPr>
              <w:spacing w:after="40"/>
            </w:pPr>
            <w:r/>
            <w:r>
              <w:rPr>
                <w:sz w:val="19"/>
              </w:rPr>
              <w:t>enrich_parallel.py</w:t>
            </w:r>
          </w:p>
        </w:tc>
        <w:tc>
          <w:tcPr>
            <w:tcW w:type="dxa" w:w="1440"/>
            <w:shd w:val="clear" w:fill="F2F6F9"/>
          </w:tcPr>
          <w:p>
            <w:pPr>
              <w:spacing w:after="40"/>
            </w:pPr>
            <w:r/>
            <w:r>
              <w:rPr>
                <w:sz w:val="19"/>
              </w:rPr>
              <w:t>259 lines</w:t>
            </w:r>
          </w:p>
        </w:tc>
        <w:tc>
          <w:tcPr>
            <w:tcW w:type="dxa" w:w="4896"/>
            <w:shd w:val="clear" w:fill="F2F6F9"/>
          </w:tcPr>
          <w:p>
            <w:pPr>
              <w:spacing w:after="40"/>
            </w:pPr>
            <w:r/>
            <w:r>
              <w:rPr>
                <w:sz w:val="19"/>
              </w:rPr>
              <w:t>Parallel event enrichment</w:t>
            </w:r>
          </w:p>
        </w:tc>
      </w:tr>
      <w:tr>
        <w:tc>
          <w:tcPr>
            <w:tcW w:type="dxa" w:w="3168"/>
          </w:tcPr>
          <w:p>
            <w:pPr>
              <w:spacing w:after="40"/>
            </w:pPr>
            <w:r/>
            <w:r>
              <w:rPr>
                <w:sz w:val="19"/>
              </w:rPr>
              <w:t>retrain.py</w:t>
            </w:r>
          </w:p>
        </w:tc>
        <w:tc>
          <w:tcPr>
            <w:tcW w:type="dxa" w:w="1440"/>
          </w:tcPr>
          <w:p>
            <w:pPr>
              <w:spacing w:after="40"/>
            </w:pPr>
            <w:r/>
            <w:r>
              <w:rPr>
                <w:sz w:val="19"/>
              </w:rPr>
              <w:t>249 lines</w:t>
            </w:r>
          </w:p>
        </w:tc>
        <w:tc>
          <w:tcPr>
            <w:tcW w:type="dxa" w:w="4896"/>
          </w:tcPr>
          <w:p>
            <w:pPr>
              <w:spacing w:after="40"/>
            </w:pPr>
            <w:r/>
            <w:r>
              <w:rPr>
                <w:sz w:val="19"/>
              </w:rPr>
              <w:t>Retraining orchestration</w:t>
            </w:r>
          </w:p>
        </w:tc>
      </w:tr>
      <w:tr>
        <w:tc>
          <w:tcPr>
            <w:tcW w:type="dxa" w:w="3168"/>
            <w:shd w:val="clear" w:fill="F2F6F9"/>
          </w:tcPr>
          <w:p>
            <w:pPr>
              <w:spacing w:after="40"/>
            </w:pPr>
            <w:r/>
            <w:r>
              <w:rPr>
                <w:sz w:val="19"/>
              </w:rPr>
              <w:t>ueba_watchlist.py</w:t>
            </w:r>
          </w:p>
        </w:tc>
        <w:tc>
          <w:tcPr>
            <w:tcW w:type="dxa" w:w="1440"/>
            <w:shd w:val="clear" w:fill="F2F6F9"/>
          </w:tcPr>
          <w:p>
            <w:pPr>
              <w:spacing w:after="40"/>
            </w:pPr>
            <w:r/>
            <w:r>
              <w:rPr>
                <w:sz w:val="19"/>
              </w:rPr>
              <w:t>220 lines</w:t>
            </w:r>
          </w:p>
        </w:tc>
        <w:tc>
          <w:tcPr>
            <w:tcW w:type="dxa" w:w="4896"/>
            <w:shd w:val="clear" w:fill="F2F6F9"/>
          </w:tcPr>
          <w:p>
            <w:pPr>
              <w:spacing w:after="40"/>
            </w:pPr>
            <w:r/>
            <w:r>
              <w:rPr>
                <w:sz w:val="19"/>
              </w:rPr>
              <w:t>Shared watch-list store and matching</w:t>
            </w:r>
          </w:p>
        </w:tc>
      </w:tr>
      <w:tr>
        <w:tc>
          <w:tcPr>
            <w:tcW w:type="dxa" w:w="3168"/>
          </w:tcPr>
          <w:p>
            <w:pPr>
              <w:spacing w:after="40"/>
            </w:pPr>
            <w:r/>
            <w:r>
              <w:rPr>
                <w:sz w:val="19"/>
              </w:rPr>
              <w:t>ueba_prune_corpus.py</w:t>
            </w:r>
          </w:p>
        </w:tc>
        <w:tc>
          <w:tcPr>
            <w:tcW w:type="dxa" w:w="1440"/>
          </w:tcPr>
          <w:p>
            <w:pPr>
              <w:spacing w:after="40"/>
            </w:pPr>
            <w:r/>
            <w:r>
              <w:rPr>
                <w:sz w:val="19"/>
              </w:rPr>
              <w:t>175 lines</w:t>
            </w:r>
          </w:p>
        </w:tc>
        <w:tc>
          <w:tcPr>
            <w:tcW w:type="dxa" w:w="4896"/>
          </w:tcPr>
          <w:p>
            <w:pPr>
              <w:spacing w:after="40"/>
            </w:pPr>
            <w:r/>
            <w:r>
              <w:rPr>
                <w:sz w:val="19"/>
              </w:rPr>
              <w:t>In-place training-corpus retention</w:t>
            </w:r>
          </w:p>
        </w:tc>
      </w:tr>
    </w:tbl>
    <w:p>
      <w:pPr>
        <w:spacing w:after="80"/>
      </w:pPr>
    </w:p>
    <w:p>
      <w:pPr>
        <w:pStyle w:val="Heading1"/>
      </w:pPr>
      <w:r>
        <w:t>Appendix B — Principal Configuration Parameters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880"/>
            <w:shd w:val="clear" w:fill="0B6FA4"/>
          </w:tcPr>
          <w:p>
            <w:pPr>
              <w:spacing w:after="40"/>
            </w:pPr>
            <w:r/>
            <w:r>
              <w:rPr>
                <w:b/>
                <w:color w:val="FFFFFF"/>
                <w:sz w:val="19"/>
              </w:rPr>
              <w:t>Parameter</w:t>
            </w:r>
          </w:p>
        </w:tc>
        <w:tc>
          <w:tcPr>
            <w:tcW w:type="dxa" w:w="1296"/>
            <w:shd w:val="clear" w:fill="0B6FA4"/>
          </w:tcPr>
          <w:p>
            <w:pPr>
              <w:spacing w:after="40"/>
            </w:pPr>
            <w:r/>
            <w:r>
              <w:rPr>
                <w:b/>
                <w:color w:val="FFFFFF"/>
                <w:sz w:val="19"/>
              </w:rPr>
              <w:t>Value</w:t>
            </w:r>
          </w:p>
        </w:tc>
        <w:tc>
          <w:tcPr>
            <w:tcW w:type="dxa" w:w="5328"/>
            <w:shd w:val="clear" w:fill="0B6FA4"/>
          </w:tcPr>
          <w:p>
            <w:pPr>
              <w:spacing w:after="40"/>
            </w:pPr>
            <w:r/>
            <w:r>
              <w:rPr>
                <w:b/>
                <w:color w:val="FFFFFF"/>
                <w:sz w:val="19"/>
              </w:rPr>
              <w:t>Effect</w:t>
            </w:r>
          </w:p>
        </w:tc>
      </w:tr>
      <w:tr>
        <w:tc>
          <w:tcPr>
            <w:tcW w:type="dxa" w:w="2880"/>
          </w:tcPr>
          <w:p>
            <w:pPr>
              <w:spacing w:after="40"/>
            </w:pPr>
            <w:r/>
            <w:r>
              <w:rPr>
                <w:sz w:val="19"/>
              </w:rPr>
              <w:t>alert_threshold</w:t>
            </w:r>
          </w:p>
        </w:tc>
        <w:tc>
          <w:tcPr>
            <w:tcW w:type="dxa" w:w="1296"/>
          </w:tcPr>
          <w:p>
            <w:pPr>
              <w:spacing w:after="40"/>
            </w:pPr>
            <w:r/>
            <w:r>
              <w:rPr>
                <w:sz w:val="19"/>
              </w:rPr>
              <w:t>0.75</w:t>
            </w:r>
          </w:p>
        </w:tc>
        <w:tc>
          <w:tcPr>
            <w:tcW w:type="dxa" w:w="5328"/>
          </w:tcPr>
          <w:p>
            <w:pPr>
              <w:spacing w:after="40"/>
            </w:pPr>
            <w:r/>
            <w:r>
              <w:rPr>
                <w:sz w:val="19"/>
              </w:rPr>
              <w:t>Fused score at or above which an alert is raised</w:t>
            </w:r>
          </w:p>
        </w:tc>
      </w:tr>
      <w:tr>
        <w:tc>
          <w:tcPr>
            <w:tcW w:type="dxa" w:w="2880"/>
            <w:shd w:val="clear" w:fill="F2F6F9"/>
          </w:tcPr>
          <w:p>
            <w:pPr>
              <w:spacing w:after="40"/>
            </w:pPr>
            <w:r/>
            <w:r>
              <w:rPr>
                <w:sz w:val="19"/>
              </w:rPr>
              <w:t>isolation_forest_weight</w:t>
            </w:r>
          </w:p>
        </w:tc>
        <w:tc>
          <w:tcPr>
            <w:tcW w:type="dxa" w:w="1296"/>
            <w:shd w:val="clear" w:fill="F2F6F9"/>
          </w:tcPr>
          <w:p>
            <w:pPr>
              <w:spacing w:after="40"/>
            </w:pPr>
            <w:r/>
            <w:r>
              <w:rPr>
                <w:sz w:val="19"/>
              </w:rPr>
              <w:t>0.5</w:t>
            </w:r>
          </w:p>
        </w:tc>
        <w:tc>
          <w:tcPr>
            <w:tcW w:type="dxa" w:w="5328"/>
            <w:shd w:val="clear" w:fill="F2F6F9"/>
          </w:tcPr>
          <w:p>
            <w:pPr>
              <w:spacing w:after="40"/>
            </w:pPr>
            <w:r/>
            <w:r>
              <w:rPr>
                <w:sz w:val="19"/>
              </w:rPr>
              <w:t>Weight of global rarity in the fused score</w:t>
            </w:r>
          </w:p>
        </w:tc>
      </w:tr>
      <w:tr>
        <w:tc>
          <w:tcPr>
            <w:tcW w:type="dxa" w:w="2880"/>
          </w:tcPr>
          <w:p>
            <w:pPr>
              <w:spacing w:after="40"/>
            </w:pPr>
            <w:r/>
            <w:r>
              <w:rPr>
                <w:sz w:val="19"/>
              </w:rPr>
              <w:t>autoencoder_weight</w:t>
            </w:r>
          </w:p>
        </w:tc>
        <w:tc>
          <w:tcPr>
            <w:tcW w:type="dxa" w:w="1296"/>
          </w:tcPr>
          <w:p>
            <w:pPr>
              <w:spacing w:after="40"/>
            </w:pPr>
            <w:r/>
            <w:r>
              <w:rPr>
                <w:sz w:val="19"/>
              </w:rPr>
              <w:t>0.5</w:t>
            </w:r>
          </w:p>
        </w:tc>
        <w:tc>
          <w:tcPr>
            <w:tcW w:type="dxa" w:w="5328"/>
          </w:tcPr>
          <w:p>
            <w:pPr>
              <w:spacing w:after="40"/>
            </w:pPr>
            <w:r/>
            <w:r>
              <w:rPr>
                <w:sz w:val="19"/>
              </w:rPr>
              <w:t>Weight of personal deviation in the fused score</w:t>
            </w:r>
          </w:p>
        </w:tc>
      </w:tr>
      <w:tr>
        <w:tc>
          <w:tcPr>
            <w:tcW w:type="dxa" w:w="2880"/>
            <w:shd w:val="clear" w:fill="F2F6F9"/>
          </w:tcPr>
          <w:p>
            <w:pPr>
              <w:spacing w:after="40"/>
            </w:pPr>
            <w:r/>
            <w:r>
              <w:rPr>
                <w:sz w:val="19"/>
              </w:rPr>
              <w:t>feature_dim</w:t>
            </w:r>
          </w:p>
        </w:tc>
        <w:tc>
          <w:tcPr>
            <w:tcW w:type="dxa" w:w="1296"/>
            <w:shd w:val="clear" w:fill="F2F6F9"/>
          </w:tcPr>
          <w:p>
            <w:pPr>
              <w:spacing w:after="40"/>
            </w:pPr>
            <w:r/>
            <w:r>
              <w:rPr>
                <w:sz w:val="19"/>
              </w:rPr>
              <w:t>35</w:t>
            </w:r>
          </w:p>
        </w:tc>
        <w:tc>
          <w:tcPr>
            <w:tcW w:type="dxa" w:w="5328"/>
            <w:shd w:val="clear" w:fill="F2F6F9"/>
          </w:tcPr>
          <w:p>
            <w:pPr>
              <w:spacing w:after="40"/>
            </w:pPr>
            <w:r/>
            <w:r>
              <w:rPr>
                <w:sz w:val="19"/>
              </w:rPr>
              <w:t>Dimension of the event feature vector</w:t>
            </w:r>
          </w:p>
        </w:tc>
      </w:tr>
      <w:tr>
        <w:tc>
          <w:tcPr>
            <w:tcW w:type="dxa" w:w="2880"/>
          </w:tcPr>
          <w:p>
            <w:pPr>
              <w:spacing w:after="40"/>
            </w:pPr>
            <w:r/>
            <w:r>
              <w:rPr>
                <w:sz w:val="19"/>
              </w:rPr>
              <w:t>min_events_per_user</w:t>
            </w:r>
          </w:p>
        </w:tc>
        <w:tc>
          <w:tcPr>
            <w:tcW w:type="dxa" w:w="1296"/>
          </w:tcPr>
          <w:p>
            <w:pPr>
              <w:spacing w:after="40"/>
            </w:pPr>
            <w:r/>
            <w:r>
              <w:rPr>
                <w:sz w:val="19"/>
              </w:rPr>
              <w:t>2,000</w:t>
            </w:r>
          </w:p>
        </w:tc>
        <w:tc>
          <w:tcPr>
            <w:tcW w:type="dxa" w:w="5328"/>
          </w:tcPr>
          <w:p>
            <w:pPr>
              <w:spacing w:after="40"/>
            </w:pPr>
            <w:r/>
            <w:r>
              <w:rPr>
                <w:sz w:val="19"/>
              </w:rPr>
              <w:t>Activity required before an entity receives its own model</w:t>
            </w:r>
          </w:p>
        </w:tc>
      </w:tr>
      <w:tr>
        <w:tc>
          <w:tcPr>
            <w:tcW w:type="dxa" w:w="2880"/>
            <w:shd w:val="clear" w:fill="F2F6F9"/>
          </w:tcPr>
          <w:p>
            <w:pPr>
              <w:spacing w:after="40"/>
            </w:pPr>
            <w:r/>
            <w:r>
              <w:rPr>
                <w:sz w:val="19"/>
              </w:rPr>
              <w:t>threshold_percentile</w:t>
            </w:r>
          </w:p>
        </w:tc>
        <w:tc>
          <w:tcPr>
            <w:tcW w:type="dxa" w:w="1296"/>
            <w:shd w:val="clear" w:fill="F2F6F9"/>
          </w:tcPr>
          <w:p>
            <w:pPr>
              <w:spacing w:after="40"/>
            </w:pPr>
            <w:r/>
            <w:r>
              <w:rPr>
                <w:sz w:val="19"/>
              </w:rPr>
              <w:t>95</w:t>
            </w:r>
          </w:p>
        </w:tc>
        <w:tc>
          <w:tcPr>
            <w:tcW w:type="dxa" w:w="5328"/>
            <w:shd w:val="clear" w:fill="F2F6F9"/>
          </w:tcPr>
          <w:p>
            <w:pPr>
              <w:spacing w:after="40"/>
            </w:pPr>
            <w:r/>
            <w:r>
              <w:rPr>
                <w:sz w:val="19"/>
              </w:rPr>
              <w:t>Percentile of reconstruction error used as the per-entity threshold</w:t>
            </w:r>
          </w:p>
        </w:tc>
      </w:tr>
      <w:tr>
        <w:tc>
          <w:tcPr>
            <w:tcW w:type="dxa" w:w="2880"/>
          </w:tcPr>
          <w:p>
            <w:pPr>
              <w:spacing w:after="40"/>
            </w:pPr>
            <w:r/>
            <w:r>
              <w:rPr>
                <w:sz w:val="19"/>
              </w:rPr>
              <w:t>contamination</w:t>
            </w:r>
          </w:p>
        </w:tc>
        <w:tc>
          <w:tcPr>
            <w:tcW w:type="dxa" w:w="1296"/>
          </w:tcPr>
          <w:p>
            <w:pPr>
              <w:spacing w:after="40"/>
            </w:pPr>
            <w:r/>
            <w:r>
              <w:rPr>
                <w:sz w:val="19"/>
              </w:rPr>
              <w:t>0.005</w:t>
            </w:r>
          </w:p>
        </w:tc>
        <w:tc>
          <w:tcPr>
            <w:tcW w:type="dxa" w:w="5328"/>
          </w:tcPr>
          <w:p>
            <w:pPr>
              <w:spacing w:after="40"/>
            </w:pPr>
            <w:r/>
            <w:r>
              <w:rPr>
                <w:sz w:val="19"/>
              </w:rPr>
              <w:t>Expected outlier proportion for the Isolation Forest</w:t>
            </w:r>
          </w:p>
        </w:tc>
      </w:tr>
      <w:tr>
        <w:tc>
          <w:tcPr>
            <w:tcW w:type="dxa" w:w="2880"/>
            <w:shd w:val="clear" w:fill="F2F6F9"/>
          </w:tcPr>
          <w:p>
            <w:pPr>
              <w:spacing w:after="40"/>
            </w:pPr>
            <w:r/>
            <w:r>
              <w:rPr>
                <w:sz w:val="19"/>
              </w:rPr>
              <w:t>min_cluster_size</w:t>
            </w:r>
          </w:p>
        </w:tc>
        <w:tc>
          <w:tcPr>
            <w:tcW w:type="dxa" w:w="1296"/>
            <w:shd w:val="clear" w:fill="F2F6F9"/>
          </w:tcPr>
          <w:p>
            <w:pPr>
              <w:spacing w:after="40"/>
            </w:pPr>
            <w:r/>
            <w:r>
              <w:rPr>
                <w:sz w:val="19"/>
              </w:rPr>
              <w:t>5</w:t>
            </w:r>
          </w:p>
        </w:tc>
        <w:tc>
          <w:tcPr>
            <w:tcW w:type="dxa" w:w="5328"/>
            <w:shd w:val="clear" w:fill="F2F6F9"/>
          </w:tcPr>
          <w:p>
            <w:pPr>
              <w:spacing w:after="40"/>
            </w:pPr>
            <w:r/>
            <w:r>
              <w:rPr>
                <w:sz w:val="19"/>
              </w:rPr>
              <w:t>Smallest group HDBSCAN will treat as a campaign</w:t>
            </w:r>
          </w:p>
        </w:tc>
      </w:tr>
      <w:tr>
        <w:tc>
          <w:tcPr>
            <w:tcW w:type="dxa" w:w="2880"/>
          </w:tcPr>
          <w:p>
            <w:pPr>
              <w:spacing w:after="40"/>
            </w:pPr>
            <w:r/>
            <w:r>
              <w:rPr>
                <w:sz w:val="19"/>
              </w:rPr>
              <w:t>run_interval_seconds</w:t>
            </w:r>
          </w:p>
        </w:tc>
        <w:tc>
          <w:tcPr>
            <w:tcW w:type="dxa" w:w="1296"/>
          </w:tcPr>
          <w:p>
            <w:pPr>
              <w:spacing w:after="40"/>
            </w:pPr>
            <w:r/>
            <w:r>
              <w:rPr>
                <w:sz w:val="19"/>
              </w:rPr>
              <w:t>900</w:t>
            </w:r>
          </w:p>
        </w:tc>
        <w:tc>
          <w:tcPr>
            <w:tcW w:type="dxa" w:w="5328"/>
          </w:tcPr>
          <w:p>
            <w:pPr>
              <w:spacing w:after="40"/>
            </w:pPr>
            <w:r/>
            <w:r>
              <w:rPr>
                <w:sz w:val="19"/>
              </w:rPr>
              <w:t>Campaign clustering cadence</w:t>
            </w:r>
          </w:p>
        </w:tc>
      </w:tr>
      <w:tr>
        <w:tc>
          <w:tcPr>
            <w:tcW w:type="dxa" w:w="2880"/>
            <w:shd w:val="clear" w:fill="F2F6F9"/>
          </w:tcPr>
          <w:p>
            <w:pPr>
              <w:spacing w:after="40"/>
            </w:pPr>
            <w:r/>
            <w:r>
              <w:rPr>
                <w:sz w:val="19"/>
              </w:rPr>
              <w:t>poll_interval_ms</w:t>
            </w:r>
          </w:p>
        </w:tc>
        <w:tc>
          <w:tcPr>
            <w:tcW w:type="dxa" w:w="1296"/>
            <w:shd w:val="clear" w:fill="F2F6F9"/>
          </w:tcPr>
          <w:p>
            <w:pPr>
              <w:spacing w:after="40"/>
            </w:pPr>
            <w:r/>
            <w:r>
              <w:rPr>
                <w:sz w:val="19"/>
              </w:rPr>
              <w:t>100</w:t>
            </w:r>
          </w:p>
        </w:tc>
        <w:tc>
          <w:tcPr>
            <w:tcW w:type="dxa" w:w="5328"/>
            <w:shd w:val="clear" w:fill="F2F6F9"/>
          </w:tcPr>
          <w:p>
            <w:pPr>
              <w:spacing w:after="40"/>
            </w:pPr>
            <w:r/>
            <w:r>
              <w:rPr>
                <w:sz w:val="19"/>
              </w:rPr>
              <w:t>Engine feed polling interval</w:t>
            </w:r>
          </w:p>
        </w:tc>
      </w:tr>
      <w:tr>
        <w:tc>
          <w:tcPr>
            <w:tcW w:type="dxa" w:w="2880"/>
          </w:tcPr>
          <w:p>
            <w:pPr>
              <w:spacing w:after="40"/>
            </w:pPr>
            <w:r/>
            <w:r>
              <w:rPr>
                <w:sz w:val="19"/>
              </w:rPr>
              <w:t>if_batch_size</w:t>
            </w:r>
          </w:p>
        </w:tc>
        <w:tc>
          <w:tcPr>
            <w:tcW w:type="dxa" w:w="1296"/>
          </w:tcPr>
          <w:p>
            <w:pPr>
              <w:spacing w:after="40"/>
            </w:pPr>
            <w:r/>
            <w:r>
              <w:rPr>
                <w:sz w:val="19"/>
              </w:rPr>
              <w:t>128</w:t>
            </w:r>
          </w:p>
        </w:tc>
        <w:tc>
          <w:tcPr>
            <w:tcW w:type="dxa" w:w="5328"/>
          </w:tcPr>
          <w:p>
            <w:pPr>
              <w:spacing w:after="40"/>
            </w:pPr>
            <w:r/>
            <w:r>
              <w:rPr>
                <w:sz w:val="19"/>
              </w:rPr>
              <w:t>Events scored per Isolation Forest call</w:t>
            </w:r>
          </w:p>
        </w:tc>
      </w:tr>
    </w:tbl>
    <w:p>
      <w:pPr>
        <w:spacing w:after="80"/>
      </w:pPr>
    </w:p>
    <w:p>
      <w:pPr>
        <w:spacing w:after="120"/>
      </w:pPr>
      <w:r>
        <w:rPr>
          <w:b w:val="0"/>
          <w:i w:val="0"/>
          <w:color w:val="1A1A1A"/>
          <w:sz w:val="21"/>
        </w:rPr>
      </w:r>
    </w:p>
    <w:p>
      <w:pPr>
        <w:spacing w:after="120"/>
        <w:jc w:val="center"/>
      </w:pPr>
      <w:r>
        <w:rPr>
          <w:b w:val="0"/>
          <w:i/>
          <w:color w:val="5B6B7A"/>
          <w:sz w:val="19"/>
        </w:rPr>
        <w:t>— End of document —</w:t>
      </w: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6"/>
      </w:rPr>
      <w:t xml:space="preserve">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color="D7DEE5"/>
      </w:pBdr>
    </w:pPr>
    <w:r>
      <w:rPr>
        <w:color w:val="5B6B7A"/>
        <w:sz w:val="16"/>
      </w:rPr>
      <w:t>CyberSentinel UEBA  ·  Technical &amp;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Arial" w:hAnsi="Arial"/>
      <w:b/>
      <w:bCs/>
      <w:color w:val="0B224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0B6FA4"/>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B22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 UEBA — Technical &amp; Architecture Document</dc:title>
  <dc:subject>System design, detection methodology, technology stack and operations</dc:subject>
  <dc:creator>python-docx</dc:creator>
  <cp:keywords>UEBA; behavioural analytics; CyberSentinel; architecture</cp:keywords>
  <dc:description>Figures measured against the running deployment on 23 September 2026.</dc:description>
  <cp:lastModifiedBy/>
  <cp:revision>1</cp:revision>
  <dcterms:created xsi:type="dcterms:W3CDTF">2013-12-23T23:15:00Z</dcterms:created>
  <dcterms:modified xsi:type="dcterms:W3CDTF">2013-12-23T23:15:00Z</dcterms:modified>
  <cp:category>Technical reference</cp:category>
</cp:coreProperties>
</file>