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8F98" w14:textId="77777777" w:rsidR="00FB4EE6" w:rsidRPr="00EC3433" w:rsidRDefault="005D781F" w:rsidP="00EC3433">
      <w:pPr>
        <w:pStyle w:val="Title"/>
      </w:pPr>
      <w:r w:rsidRPr="00EC3433">
        <w:t>Data Report</w:t>
      </w:r>
    </w:p>
    <w:p w14:paraId="7B45A177" w14:textId="77777777" w:rsidR="00FB4EE6" w:rsidRDefault="005D781F" w:rsidP="00956C84">
      <w:pPr>
        <w:pStyle w:val="asthmaheadin1"/>
      </w:pPr>
      <w:bookmarkStart w:id="0" w:name="section"/>
      <w:r w:rsidRPr="00D06D8C">
        <w:t>2022-11-22 15:23:16</w:t>
      </w:r>
    </w:p>
    <w:p w14:paraId="300F016F" w14:textId="45299EEC" w:rsidR="00550EE0" w:rsidRPr="00D06D8C" w:rsidRDefault="00550EE0" w:rsidP="00550EE0">
      <w:pPr>
        <w:pStyle w:val="Heading2"/>
      </w:pPr>
      <w:r>
        <w:t>Header 2</w:t>
      </w:r>
    </w:p>
    <w:p w14:paraId="39505DF9" w14:textId="77777777" w:rsidR="00FB4EE6" w:rsidRPr="00BA30C3" w:rsidRDefault="005D781F">
      <w:pPr>
        <w:pStyle w:val="FirstParagraph"/>
        <w:rPr>
          <w:rFonts w:cs="Arial"/>
        </w:rPr>
      </w:pPr>
      <w:r w:rsidRPr="00BA30C3">
        <w:rPr>
          <w:rFonts w:cs="Arial"/>
          <w:b/>
          <w:bCs/>
        </w:rPr>
        <w:t>12 census tracts in Autauga County, Alabama</w:t>
      </w:r>
    </w:p>
    <w:p w14:paraId="5B31EA27" w14:textId="77777777" w:rsidR="00FB4EE6" w:rsidRPr="00BA30C3" w:rsidRDefault="005D781F">
      <w:pPr>
        <w:pStyle w:val="BodyText"/>
        <w:rPr>
          <w:rFonts w:cs="Arial"/>
        </w:rPr>
      </w:pPr>
      <w:r w:rsidRPr="00BA30C3">
        <w:rPr>
          <w:rFonts w:cs="Arial"/>
          <w:b/>
          <w:bCs/>
        </w:rPr>
        <w:t xml:space="preserve">Factor: Particulate Matter </w:t>
      </w:r>
    </w:p>
    <w:p w14:paraId="24F0CC10" w14:textId="17A42B4D" w:rsidR="00FB4EE6" w:rsidRPr="00D06D8C" w:rsidRDefault="005D781F" w:rsidP="00D06D8C">
      <w:pPr>
        <w:pStyle w:val="CaptionedFigure"/>
        <w:rPr>
          <w:rFonts w:cs="Arial"/>
        </w:rPr>
      </w:pPr>
      <w:r w:rsidRPr="00D06D8C">
        <w:rPr>
          <w:rFonts w:cs="Arial"/>
          <w:noProof/>
        </w:rPr>
        <w:drawing>
          <wp:inline distT="0" distB="0" distL="0" distR="0" wp14:anchorId="39B12A51" wp14:editId="5CB14230">
            <wp:extent cx="4749135" cy="3561851"/>
            <wp:effectExtent l="0" t="0" r="0" b="0"/>
            <wp:docPr id="21" name="Picture" descr="Factor Ma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JBERNARDI\AppData\Local\Temp\RtmpGixFmQ/ma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35" cy="356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138E3" w14:textId="77777777" w:rsidR="00FB4EE6" w:rsidRPr="00D06D8C" w:rsidRDefault="005D781F" w:rsidP="00D06D8C">
      <w:pPr>
        <w:pStyle w:val="ImageCaption"/>
        <w:rPr>
          <w:rFonts w:cs="Arial"/>
        </w:rPr>
      </w:pPr>
      <w:r w:rsidRPr="00D06D8C">
        <w:rPr>
          <w:rFonts w:cs="Arial"/>
        </w:rPr>
        <w:t>Factor Map</w:t>
      </w:r>
    </w:p>
    <w:p w14:paraId="29802359" w14:textId="77777777" w:rsidR="00FB4EE6" w:rsidRPr="00D06D8C" w:rsidRDefault="005D781F" w:rsidP="00D06D8C">
      <w:pPr>
        <w:pStyle w:val="CaptionedFigure"/>
        <w:rPr>
          <w:rFonts w:cs="Arial"/>
        </w:rPr>
      </w:pPr>
      <w:r w:rsidRPr="00D06D8C">
        <w:rPr>
          <w:rFonts w:cs="Arial"/>
          <w:noProof/>
        </w:rPr>
        <w:lastRenderedPageBreak/>
        <w:drawing>
          <wp:inline distT="0" distB="0" distL="0" distR="0" wp14:anchorId="17450056" wp14:editId="4D2A8F00">
            <wp:extent cx="4749135" cy="3561851"/>
            <wp:effectExtent l="0" t="0" r="0" b="0"/>
            <wp:docPr id="24" name="Picture" descr="Factor Scatter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\Users\JBERNARDI\AppData\Local\Temp\RtmpGixFmQ/scatt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35" cy="356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8E0BA" w14:textId="21E9CB36" w:rsidR="00FB4EE6" w:rsidRDefault="005D781F">
      <w:pPr>
        <w:pStyle w:val="ImageCaption"/>
        <w:rPr>
          <w:rFonts w:cs="Arial"/>
        </w:rPr>
      </w:pPr>
      <w:r w:rsidRPr="00D06D8C">
        <w:rPr>
          <w:rFonts w:cs="Arial"/>
        </w:rPr>
        <w:t>Factor Scatter Plot</w:t>
      </w:r>
    </w:p>
    <w:p w14:paraId="21258C7E" w14:textId="388B8841" w:rsidR="00D06D8C" w:rsidRDefault="00D06D8C">
      <w:pPr>
        <w:pStyle w:val="ImageCaption"/>
        <w:rPr>
          <w:rFonts w:cs="Arial"/>
        </w:rPr>
      </w:pPr>
    </w:p>
    <w:p w14:paraId="5BF6EE38" w14:textId="77777777" w:rsidR="00D06D8C" w:rsidRPr="00D06D8C" w:rsidRDefault="00D06D8C">
      <w:pPr>
        <w:pStyle w:val="ImageCaption"/>
        <w:rPr>
          <w:rFonts w:cs="Arial"/>
        </w:rPr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143"/>
        <w:gridCol w:w="2318"/>
        <w:gridCol w:w="2196"/>
      </w:tblGrid>
      <w:tr w:rsidR="00FB4EE6" w:rsidRPr="00D06D8C" w14:paraId="1AE3640A" w14:textId="77777777" w:rsidTr="00FB4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14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1FC8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</w:t>
            </w:r>
          </w:p>
        </w:tc>
        <w:tc>
          <w:tcPr>
            <w:tcW w:w="231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F7D2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Asthma Prevalence</w:t>
            </w:r>
          </w:p>
        </w:tc>
        <w:tc>
          <w:tcPr>
            <w:tcW w:w="219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2E05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 xml:space="preserve">Particulate Matter </w:t>
            </w:r>
          </w:p>
        </w:tc>
      </w:tr>
      <w:tr w:rsidR="00FB4EE6" w:rsidRPr="00D06D8C" w14:paraId="1CD9C339" w14:textId="77777777" w:rsidTr="00FB4EE6">
        <w:trPr>
          <w:jc w:val="center"/>
        </w:trPr>
        <w:tc>
          <w:tcPr>
            <w:tcW w:w="514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8E87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201, Autauga County, Alabama</w:t>
            </w:r>
          </w:p>
        </w:tc>
        <w:tc>
          <w:tcPr>
            <w:tcW w:w="231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A20B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9.9</w:t>
            </w:r>
          </w:p>
        </w:tc>
        <w:tc>
          <w:tcPr>
            <w:tcW w:w="219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4108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7.837220</w:t>
            </w:r>
          </w:p>
        </w:tc>
      </w:tr>
      <w:tr w:rsidR="00FB4EE6" w:rsidRPr="00D06D8C" w14:paraId="119E164C" w14:textId="77777777" w:rsidTr="00FB4EE6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2A29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202, Autauga County, Alabama</w:t>
            </w:r>
          </w:p>
        </w:tc>
        <w:tc>
          <w:tcPr>
            <w:tcW w:w="23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598A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11.0</w:t>
            </w:r>
          </w:p>
        </w:tc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B32A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8.062370</w:t>
            </w:r>
          </w:p>
        </w:tc>
      </w:tr>
      <w:tr w:rsidR="00FB4EE6" w:rsidRPr="00D06D8C" w14:paraId="05054D8D" w14:textId="77777777" w:rsidTr="00FB4EE6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1262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203, Autauga County, Alabama</w:t>
            </w:r>
          </w:p>
        </w:tc>
        <w:tc>
          <w:tcPr>
            <w:tcW w:w="23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4351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10.2</w:t>
            </w:r>
          </w:p>
        </w:tc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753D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8.042672</w:t>
            </w:r>
          </w:p>
        </w:tc>
      </w:tr>
      <w:tr w:rsidR="00FB4EE6" w:rsidRPr="00D06D8C" w14:paraId="393EBE29" w14:textId="77777777" w:rsidTr="00FB4EE6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CA07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204, Autauga County, Alabama</w:t>
            </w:r>
          </w:p>
        </w:tc>
        <w:tc>
          <w:tcPr>
            <w:tcW w:w="23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4409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8.8</w:t>
            </w:r>
          </w:p>
        </w:tc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1F0C6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8.177949</w:t>
            </w:r>
          </w:p>
        </w:tc>
      </w:tr>
      <w:tr w:rsidR="00FB4EE6" w:rsidRPr="00D06D8C" w14:paraId="112730DC" w14:textId="77777777" w:rsidTr="00FB4EE6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09C1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205, Autauga County, Alabama</w:t>
            </w:r>
          </w:p>
        </w:tc>
        <w:tc>
          <w:tcPr>
            <w:tcW w:w="23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094E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9.2</w:t>
            </w:r>
          </w:p>
        </w:tc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AC728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8.236604</w:t>
            </w:r>
          </w:p>
        </w:tc>
      </w:tr>
      <w:tr w:rsidR="00FB4EE6" w:rsidRPr="00D06D8C" w14:paraId="104726F5" w14:textId="77777777" w:rsidTr="00FB4EE6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2DFB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206, Autauga County, Alabama</w:t>
            </w:r>
          </w:p>
        </w:tc>
        <w:tc>
          <w:tcPr>
            <w:tcW w:w="23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C9A7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10.6</w:t>
            </w:r>
          </w:p>
        </w:tc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F2D9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7.905288</w:t>
            </w:r>
          </w:p>
        </w:tc>
      </w:tr>
      <w:tr w:rsidR="00FB4EE6" w:rsidRPr="00D06D8C" w14:paraId="7D894338" w14:textId="77777777" w:rsidTr="00FB4EE6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3A5B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207, Autauga County, Alabama</w:t>
            </w:r>
          </w:p>
        </w:tc>
        <w:tc>
          <w:tcPr>
            <w:tcW w:w="23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1751E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11.1</w:t>
            </w:r>
          </w:p>
        </w:tc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0BB8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8.037635</w:t>
            </w:r>
          </w:p>
        </w:tc>
      </w:tr>
      <w:tr w:rsidR="00FB4EE6" w:rsidRPr="00D06D8C" w14:paraId="4EA9BCA3" w14:textId="77777777" w:rsidTr="00FB4EE6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B016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208.01, Autauga County, Alabama</w:t>
            </w:r>
          </w:p>
        </w:tc>
        <w:tc>
          <w:tcPr>
            <w:tcW w:w="23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0666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9.2</w:t>
            </w:r>
          </w:p>
        </w:tc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638B2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7.912131</w:t>
            </w:r>
          </w:p>
        </w:tc>
      </w:tr>
      <w:tr w:rsidR="00FB4EE6" w:rsidRPr="00D06D8C" w14:paraId="294B7C69" w14:textId="77777777" w:rsidTr="00FB4EE6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6927D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208.02, Autauga County, Alabama</w:t>
            </w:r>
          </w:p>
        </w:tc>
        <w:tc>
          <w:tcPr>
            <w:tcW w:w="23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C2B0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9.7</w:t>
            </w:r>
          </w:p>
        </w:tc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FCEC0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7.482033</w:t>
            </w:r>
          </w:p>
        </w:tc>
      </w:tr>
      <w:tr w:rsidR="00FB4EE6" w:rsidRPr="00D06D8C" w14:paraId="34CB9E8E" w14:textId="77777777" w:rsidTr="00FB4EE6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087C2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209, Autauga County, Alabama</w:t>
            </w:r>
          </w:p>
        </w:tc>
        <w:tc>
          <w:tcPr>
            <w:tcW w:w="23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FF7B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9.4</w:t>
            </w:r>
          </w:p>
        </w:tc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0200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7.423824</w:t>
            </w:r>
          </w:p>
        </w:tc>
      </w:tr>
      <w:tr w:rsidR="00FB4EE6" w:rsidRPr="00D06D8C" w14:paraId="653BE6FE" w14:textId="77777777" w:rsidTr="00FB4EE6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7E4A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210, Autauga County, Alabama</w:t>
            </w:r>
          </w:p>
        </w:tc>
        <w:tc>
          <w:tcPr>
            <w:tcW w:w="23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820C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10.3</w:t>
            </w:r>
          </w:p>
        </w:tc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E3CC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7.435640</w:t>
            </w:r>
          </w:p>
        </w:tc>
      </w:tr>
      <w:tr w:rsidR="00FB4EE6" w:rsidRPr="00D06D8C" w14:paraId="6455CA02" w14:textId="77777777" w:rsidTr="00FB4EE6">
        <w:trPr>
          <w:jc w:val="center"/>
        </w:trPr>
        <w:tc>
          <w:tcPr>
            <w:tcW w:w="514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8EF7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Census Tract 211, Autauga County, Alabama</w:t>
            </w:r>
          </w:p>
        </w:tc>
        <w:tc>
          <w:tcPr>
            <w:tcW w:w="231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7AC3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11.5</w:t>
            </w:r>
          </w:p>
        </w:tc>
        <w:tc>
          <w:tcPr>
            <w:tcW w:w="219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6D4C" w14:textId="77777777" w:rsidR="00FB4EE6" w:rsidRPr="00D06D8C" w:rsidRDefault="005D78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="Arial"/>
              </w:rPr>
            </w:pPr>
            <w:r w:rsidRPr="00D06D8C">
              <w:rPr>
                <w:rFonts w:eastAsia="Arial" w:cs="Arial"/>
                <w:color w:val="000000"/>
              </w:rPr>
              <w:t>7.589850</w:t>
            </w:r>
          </w:p>
        </w:tc>
      </w:tr>
      <w:bookmarkEnd w:id="0"/>
    </w:tbl>
    <w:p w14:paraId="4A33A0EB" w14:textId="77777777" w:rsidR="005D6C10" w:rsidRPr="00D06D8C" w:rsidRDefault="005D6C10">
      <w:pPr>
        <w:rPr>
          <w:rFonts w:cs="Arial"/>
        </w:rPr>
      </w:pPr>
    </w:p>
    <w:sectPr w:rsidR="005D6C10" w:rsidRPr="00D06D8C" w:rsidSect="006565C1">
      <w:headerReference w:type="default" r:id="rId12"/>
      <w:footerReference w:type="default" r:id="rId13"/>
      <w:pgSz w:w="12240" w:h="15840"/>
      <w:pgMar w:top="1440" w:right="1440" w:bottom="1440" w:left="1440" w:header="288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81DE8" w14:textId="77777777" w:rsidR="0007268D" w:rsidRDefault="0007268D">
      <w:r>
        <w:separator/>
      </w:r>
    </w:p>
  </w:endnote>
  <w:endnote w:type="continuationSeparator" w:id="0">
    <w:p w14:paraId="79399787" w14:textId="77777777" w:rsidR="0007268D" w:rsidRDefault="0007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B524" w14:textId="146C9018" w:rsidR="00234A29" w:rsidRDefault="00A90B45" w:rsidP="002144D7">
    <w:pPr>
      <w:pStyle w:val="Footer"/>
      <w:jc w:val="center"/>
    </w:pPr>
    <w:r w:rsidRPr="001A4CC5">
      <w:t>© 202</w:t>
    </w:r>
    <w:r>
      <w:t>2</w:t>
    </w:r>
    <w:r w:rsidRPr="001A4CC5">
      <w:t xml:space="preserve"> MITRE</w:t>
    </w:r>
    <w:r>
      <w:t xml:space="preserve"> CORPORATION.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1514" w14:textId="77777777" w:rsidR="0007268D" w:rsidRDefault="0007268D">
      <w:r>
        <w:separator/>
      </w:r>
    </w:p>
  </w:footnote>
  <w:footnote w:type="continuationSeparator" w:id="0">
    <w:p w14:paraId="30441AAD" w14:textId="77777777" w:rsidR="0007268D" w:rsidRDefault="00072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BADB" w14:textId="434BDBE1" w:rsidR="002144D7" w:rsidRDefault="00EC3433" w:rsidP="00095073">
    <w:pPr>
      <w:pStyle w:val="Header"/>
    </w:pPr>
    <w:r>
      <w:ptab w:relativeTo="margin" w:alignment="left" w:leader="none"/>
    </w:r>
    <w:r w:rsidR="006565C1">
      <w:rPr>
        <w:noProof/>
      </w:rPr>
      <w:drawing>
        <wp:anchor distT="0" distB="0" distL="114300" distR="114300" simplePos="0" relativeHeight="251657216" behindDoc="0" locked="0" layoutInCell="1" allowOverlap="1" wp14:anchorId="1B989AE6" wp14:editId="7A2F8B06">
          <wp:simplePos x="0" y="0"/>
          <wp:positionH relativeFrom="column">
            <wp:posOffset>-1601</wp:posOffset>
          </wp:positionH>
          <wp:positionV relativeFrom="paragraph">
            <wp:posOffset>22225</wp:posOffset>
          </wp:positionV>
          <wp:extent cx="1182370" cy="3308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65C1">
      <w:rPr>
        <w:noProof/>
      </w:rPr>
      <w:drawing>
        <wp:anchor distT="0" distB="0" distL="114300" distR="114300" simplePos="0" relativeHeight="251661312" behindDoc="0" locked="0" layoutInCell="1" allowOverlap="1" wp14:anchorId="00A0E6B2" wp14:editId="49CAE02A">
          <wp:simplePos x="0" y="0"/>
          <wp:positionH relativeFrom="column">
            <wp:posOffset>1608924</wp:posOffset>
          </wp:positionH>
          <wp:positionV relativeFrom="paragraph">
            <wp:posOffset>-73660</wp:posOffset>
          </wp:positionV>
          <wp:extent cx="1589405" cy="457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940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65C1">
      <w:rPr>
        <w:noProof/>
      </w:rPr>
      <w:pict w14:anchorId="6775D65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6148" type="#_x0000_t32" style="position:absolute;margin-left:107.7pt;margin-top:0;width:0;height:28.8pt;z-index:251661312;mso-position-horizontal-relative:text;mso-position-vertical-relative:text" o:connectortype="straight" strokecolor="white [3212]" strokeweight="1.5pt"/>
      </w:pict>
    </w:r>
    <w:r w:rsidR="00095073">
      <w:rPr>
        <w:noProof/>
      </w:rPr>
      <w:pict w14:anchorId="16C18CBF">
        <v:rect id="_x0000_s6147" style="position:absolute;margin-left:-1in;margin-top:-28.8pt;width:630pt;height:1in;z-index:-251658240;mso-position-horizontal-relative:text;mso-position-vertical-relative:text" fillcolor="#005b94" stroked="f">
          <v:shadow offset=",7pt" offset2=",10pt"/>
        </v:rect>
      </w:pict>
    </w:r>
    <w:r w:rsidR="00095073">
      <w:t xml:space="preserve">                                       </w:t>
    </w:r>
    <w:r w:rsidR="006565C1">
      <w:t xml:space="preserve">                       </w:t>
    </w:r>
    <w:r w:rsidR="00095073"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58EC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42562930">
    <w:abstractNumId w:val="0"/>
  </w:num>
  <w:num w:numId="2" w16cid:durableId="1942641523">
    <w:abstractNumId w:val="1"/>
  </w:num>
  <w:num w:numId="3" w16cid:durableId="430131832">
    <w:abstractNumId w:val="1"/>
  </w:num>
  <w:num w:numId="4" w16cid:durableId="811756305">
    <w:abstractNumId w:val="1"/>
  </w:num>
  <w:num w:numId="5" w16cid:durableId="1203247049">
    <w:abstractNumId w:val="1"/>
  </w:num>
  <w:num w:numId="6" w16cid:durableId="634020428">
    <w:abstractNumId w:val="1"/>
  </w:num>
  <w:num w:numId="7" w16cid:durableId="1037394434">
    <w:abstractNumId w:val="1"/>
  </w:num>
  <w:num w:numId="8" w16cid:durableId="603079071">
    <w:abstractNumId w:val="1"/>
  </w:num>
  <w:num w:numId="9" w16cid:durableId="997879535">
    <w:abstractNumId w:val="1"/>
  </w:num>
  <w:num w:numId="10" w16cid:durableId="368455218">
    <w:abstractNumId w:val="1"/>
  </w:num>
  <w:num w:numId="11" w16cid:durableId="1735352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9">
      <o:colormru v:ext="edit" colors="#005b94"/>
      <o:colormenu v:ext="edit" fillcolor="#005b94" strokecolor="none [3212]"/>
    </o:shapedefaults>
    <o:shapelayout v:ext="edit">
      <o:idmap v:ext="edit" data="6"/>
      <o:rules v:ext="edit">
        <o:r id="V:Rule2" type="connector" idref="#_x0000_s6148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4EE6"/>
    <w:rsid w:val="0007268D"/>
    <w:rsid w:val="00095073"/>
    <w:rsid w:val="00155085"/>
    <w:rsid w:val="002144D7"/>
    <w:rsid w:val="00234A29"/>
    <w:rsid w:val="00287737"/>
    <w:rsid w:val="003F1CCA"/>
    <w:rsid w:val="00464400"/>
    <w:rsid w:val="00550EE0"/>
    <w:rsid w:val="005D6C10"/>
    <w:rsid w:val="005D781F"/>
    <w:rsid w:val="00635907"/>
    <w:rsid w:val="006565C1"/>
    <w:rsid w:val="006F3A2E"/>
    <w:rsid w:val="00707E79"/>
    <w:rsid w:val="00956C84"/>
    <w:rsid w:val="00977CA9"/>
    <w:rsid w:val="009A7916"/>
    <w:rsid w:val="00A01EDC"/>
    <w:rsid w:val="00A90B45"/>
    <w:rsid w:val="00AF3F07"/>
    <w:rsid w:val="00B37A63"/>
    <w:rsid w:val="00B83F4F"/>
    <w:rsid w:val="00B97E89"/>
    <w:rsid w:val="00BA30C3"/>
    <w:rsid w:val="00D06D8C"/>
    <w:rsid w:val="00D75C16"/>
    <w:rsid w:val="00EC3433"/>
    <w:rsid w:val="00F2748F"/>
    <w:rsid w:val="00FB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9">
      <o:colormru v:ext="edit" colors="#005b94"/>
      <o:colormenu v:ext="edit" fillcolor="#005b94" strokecolor="none [3212]"/>
    </o:shapedefaults>
    <o:shapelayout v:ext="edit">
      <o:idmap v:ext="edit" data="1"/>
    </o:shapelayout>
  </w:shapeDefaults>
  <w:decimalSymbol w:val="."/>
  <w:listSeparator w:val=","/>
  <w14:docId w14:val="17A2E414"/>
  <w15:docId w15:val="{598173E5-1BA9-417F-A701-A4C36A30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C8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433"/>
    <w:pPr>
      <w:keepNext/>
      <w:keepLines/>
      <w:spacing w:before="480"/>
      <w:outlineLvl w:val="0"/>
    </w:pPr>
    <w:rPr>
      <w:rFonts w:eastAsiaTheme="majorEastAsia" w:cstheme="majorBidi"/>
      <w:b/>
      <w:bCs/>
      <w:color w:val="005B9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433"/>
    <w:pPr>
      <w:keepNext/>
      <w:keepLines/>
      <w:spacing w:before="200"/>
      <w:outlineLvl w:val="1"/>
    </w:pPr>
    <w:rPr>
      <w:rFonts w:eastAsiaTheme="majorEastAsia" w:cstheme="majorBidi"/>
      <w:b/>
      <w:bCs/>
      <w:color w:val="005B9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D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D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6D8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6D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6D8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06D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06D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C3433"/>
    <w:pPr>
      <w:pBdr>
        <w:bottom w:val="single" w:sz="8" w:space="4" w:color="3F3F3F" w:themeColor="accent1"/>
      </w:pBdr>
      <w:spacing w:after="300"/>
      <w:contextualSpacing/>
    </w:pPr>
    <w:rPr>
      <w:rFonts w:eastAsiaTheme="majorEastAsia" w:cstheme="majorBidi"/>
      <w:color w:val="000000" w:themeColor="text1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D8C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2748F"/>
    <w:pPr>
      <w:jc w:val="center"/>
    </w:pPr>
    <w:rPr>
      <w:b/>
      <w:bCs/>
      <w:color w:val="005B94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D06D8C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3F1CCA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F2748F"/>
    <w:rPr>
      <w:rFonts w:ascii="Arial" w:hAnsi="Arial"/>
      <w:b/>
      <w:bCs/>
      <w:color w:val="005B94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F3F3F" w:themeColor="accent1"/>
      <w:sz w:val="22"/>
      <w:szCs w:val="18"/>
    </w:rPr>
  </w:style>
  <w:style w:type="character" w:customStyle="1" w:styleId="SectionNumber">
    <w:name w:val="Section Number"/>
    <w:basedOn w:val="CaptionChar"/>
    <w:rPr>
      <w:rFonts w:ascii="Arial" w:hAnsi="Arial"/>
      <w:b/>
      <w:bCs/>
      <w:color w:val="3F3F3F" w:themeColor="accent1"/>
      <w:sz w:val="18"/>
      <w:szCs w:val="18"/>
    </w:rPr>
  </w:style>
  <w:style w:type="character" w:styleId="FootnoteReference">
    <w:name w:val="footnote reference"/>
    <w:basedOn w:val="CaptionChar"/>
    <w:rPr>
      <w:rFonts w:ascii="Arial" w:hAnsi="Arial"/>
      <w:b/>
      <w:bCs/>
      <w:color w:val="3F3F3F" w:themeColor="accent1"/>
      <w:sz w:val="18"/>
      <w:szCs w:val="18"/>
      <w:vertAlign w:val="superscript"/>
    </w:rPr>
  </w:style>
  <w:style w:type="character" w:styleId="Hyperlink">
    <w:name w:val="Hyperlink"/>
    <w:basedOn w:val="CaptionChar"/>
    <w:rPr>
      <w:rFonts w:ascii="Arial" w:hAnsi="Arial"/>
      <w:b/>
      <w:bCs/>
      <w:color w:val="3F3F3F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6D8C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F3F3F" w:themeColor="accent1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F3F3F" w:themeColor="accent1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F3F3F" w:themeColor="accent1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F3F3F" w:themeColor="accent1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F3F3F" w:themeColor="accent1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EC3433"/>
    <w:rPr>
      <w:rFonts w:ascii="Arial" w:eastAsiaTheme="majorEastAsia" w:hAnsi="Arial" w:cstheme="majorBidi"/>
      <w:b/>
      <w:bCs/>
      <w:color w:val="005B9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3433"/>
    <w:rPr>
      <w:rFonts w:ascii="Arial" w:eastAsiaTheme="majorEastAsia" w:hAnsi="Arial" w:cstheme="majorBidi"/>
      <w:b/>
      <w:bCs/>
      <w:color w:val="005B9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6D8C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6D8C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06D8C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06D8C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06D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06D8C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06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C3433"/>
    <w:rPr>
      <w:rFonts w:ascii="Arial" w:eastAsiaTheme="majorEastAsia" w:hAnsi="Arial" w:cstheme="majorBidi"/>
      <w:color w:val="000000" w:themeColor="text1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06D8C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06D8C"/>
    <w:rPr>
      <w:b/>
      <w:bCs/>
    </w:rPr>
  </w:style>
  <w:style w:type="character" w:styleId="Emphasis">
    <w:name w:val="Emphasis"/>
    <w:basedOn w:val="DefaultParagraphFont"/>
    <w:uiPriority w:val="20"/>
    <w:qFormat/>
    <w:rsid w:val="00D06D8C"/>
    <w:rPr>
      <w:i/>
      <w:iCs/>
    </w:rPr>
  </w:style>
  <w:style w:type="paragraph" w:styleId="NoSpacing">
    <w:name w:val="No Spacing"/>
    <w:aliases w:val="Footer Copyright"/>
    <w:uiPriority w:val="1"/>
    <w:qFormat/>
    <w:rsid w:val="00287737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D06D8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6D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D8C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D8C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D06D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06D8C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D06D8C"/>
    <w:rPr>
      <w:smallCaps/>
      <w:color w:val="005B9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06D8C"/>
    <w:rPr>
      <w:b/>
      <w:bCs/>
      <w:smallCaps/>
      <w:color w:val="005B9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6D8C"/>
    <w:rPr>
      <w:b/>
      <w:bCs/>
      <w:smallCaps/>
      <w:spacing w:val="5"/>
    </w:rPr>
  </w:style>
  <w:style w:type="paragraph" w:customStyle="1" w:styleId="asthmaequityexplorerreport">
    <w:name w:val="asthma equity explorer report"/>
    <w:basedOn w:val="Title"/>
    <w:link w:val="asthmaequityexplorerreportChar"/>
    <w:rsid w:val="00956C84"/>
    <w:rPr>
      <w:rFonts w:cs="Arial"/>
      <w:color w:val="242852" w:themeColor="text2"/>
    </w:rPr>
  </w:style>
  <w:style w:type="paragraph" w:customStyle="1" w:styleId="asthmaheadin1">
    <w:name w:val="asthma headin 1"/>
    <w:basedOn w:val="Heading1"/>
    <w:link w:val="asthmaheadin1Char"/>
    <w:rsid w:val="00956C84"/>
    <w:rPr>
      <w:rFonts w:cs="Arial"/>
    </w:rPr>
  </w:style>
  <w:style w:type="character" w:customStyle="1" w:styleId="asthmaequityexplorerreportChar">
    <w:name w:val="asthma equity explorer report Char"/>
    <w:basedOn w:val="TitleChar"/>
    <w:link w:val="asthmaequityexplorerreport"/>
    <w:rsid w:val="00956C84"/>
    <w:rPr>
      <w:rFonts w:ascii="Arial" w:eastAsiaTheme="majorEastAsia" w:hAnsi="Arial" w:cs="Arial"/>
      <w:color w:val="242852" w:themeColor="text2"/>
      <w:spacing w:val="5"/>
      <w:sz w:val="52"/>
      <w:szCs w:val="52"/>
    </w:rPr>
  </w:style>
  <w:style w:type="character" w:customStyle="1" w:styleId="asthmaheadin1Char">
    <w:name w:val="asthma headin 1 Char"/>
    <w:basedOn w:val="Heading1Char"/>
    <w:link w:val="asthmaheadin1"/>
    <w:rsid w:val="00956C84"/>
    <w:rPr>
      <w:rFonts w:ascii="Arial" w:eastAsiaTheme="majorEastAsia" w:hAnsi="Arial" w:cs="Arial"/>
      <w:b/>
      <w:bCs/>
      <w:color w:val="2F2F2F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234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34A2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34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A2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3F3F3F"/>
      </a:accent1>
      <a:accent2>
        <a:srgbClr val="005B94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3EBBF0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51F23AAD76724283EDC03A211528D6" ma:contentTypeVersion="13" ma:contentTypeDescription="Create a new document." ma:contentTypeScope="" ma:versionID="27eea4e21a2f410cc9f0200d85ba5dcc">
  <xsd:schema xmlns:xsd="http://www.w3.org/2001/XMLSchema" xmlns:xs="http://www.w3.org/2001/XMLSchema" xmlns:p="http://schemas.microsoft.com/office/2006/metadata/properties" xmlns:ns2="1f02c847-54da-49ca-b007-d2fe5c84f71c" xmlns:ns3="62cbb738-c619-4931-8483-32d7ae86c319" xmlns:ns4="b5a44311-ed64-4a72-909f-c9dc6973bde2" targetNamespace="http://schemas.microsoft.com/office/2006/metadata/properties" ma:root="true" ma:fieldsID="bcc6151c6ee0140bb5ec83cf03bb95d7" ns2:_="" ns3:_="" ns4:_="">
    <xsd:import namespace="1f02c847-54da-49ca-b007-d2fe5c84f71c"/>
    <xsd:import namespace="62cbb738-c619-4931-8483-32d7ae86c319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2c847-54da-49ca-b007-d2fe5c84f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bb738-c619-4931-8483-32d7ae86c3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8230026e-58b2-44ca-897d-cf5959eca60c}" ma:internalName="TaxCatchAll" ma:showField="CatchAllData" ma:web="62cbb738-c619-4931-8483-32d7ae86c3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D29009-55E9-4A26-9D81-98284C16D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2c847-54da-49ca-b007-d2fe5c84f71c"/>
    <ds:schemaRef ds:uri="62cbb738-c619-4931-8483-32d7ae86c319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1E1AA5-BEBC-4ABA-9CE6-8E0B52F264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6F6572-774C-4F45-BC9E-F02F97C4B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Report</vt:lpstr>
    </vt:vector>
  </TitlesOfParts>
  <Company>The MITRE Corporation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Report</dc:title>
  <dc:creator>Julianna E Bernardi</dc:creator>
  <cp:keywords/>
  <cp:lastModifiedBy>Julianna E Bernardi</cp:lastModifiedBy>
  <cp:revision>24</cp:revision>
  <dcterms:created xsi:type="dcterms:W3CDTF">2022-11-22T20:34:00Z</dcterms:created>
  <dcterms:modified xsi:type="dcterms:W3CDTF">2022-12-06T19:20:00Z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