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85B9CF"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outlineLvl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ScaffoldAI V1 Design Review &amp; Recommendations</w:t>
      </w:r>
    </w:p>
    <w:p w14:paraId="551FA116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Style w:val="10"/>
          <w:rFonts w:hint="default" w:ascii="Arial" w:hAnsi="Arial" w:cs="Arial"/>
          <w:sz w:val="20"/>
          <w:szCs w:val="20"/>
        </w:rPr>
        <w:t>Purpose:</w:t>
      </w:r>
      <w:r>
        <w:rPr>
          <w:rFonts w:hint="default" w:ascii="Arial" w:hAnsi="Arial" w:cs="Arial"/>
          <w:sz w:val="20"/>
          <w:szCs w:val="20"/>
        </w:rPr>
        <w:t xml:space="preserve"> Tighten and finalize design before build. Focus areas: simplification, ease of use, neurodivergent design, Azure readiness, and scalability.</w:t>
      </w:r>
    </w:p>
    <w:p w14:paraId="11487B13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9C30A1"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outlineLvl w:val="1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Executive Summary</w:t>
      </w:r>
    </w:p>
    <w:p w14:paraId="7A340D76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The current design is strong: clear three-horizon model (Monthly → Weekly → Daily), AI embedded throughout, and neurodivergence-friendly principles already present. The recommendations below aim to reduce friction, strengthen accessibility, and ensure a clean path to Azure at scale.</w:t>
      </w:r>
    </w:p>
    <w:p w14:paraId="4AC3A136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099A66"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outlineLvl w:val="1"/>
        <w:rPr>
          <w:rFonts w:hint="default" w:ascii="Arial" w:hAnsi="Arial" w:cs="Arial"/>
          <w:color w:val="2E75B6" w:themeColor="accent1" w:themeShade="BF"/>
          <w:sz w:val="20"/>
          <w:szCs w:val="20"/>
          <w:u w:val="single"/>
        </w:rPr>
      </w:pPr>
      <w:r>
        <w:rPr>
          <w:rFonts w:hint="default" w:ascii="Arial" w:hAnsi="Arial" w:cs="Arial"/>
          <w:color w:val="2E75B6" w:themeColor="accent1" w:themeShade="BF"/>
          <w:sz w:val="20"/>
          <w:szCs w:val="20"/>
          <w:u w:val="single"/>
        </w:rPr>
        <w:t>1. Simplification (for Users)</w:t>
      </w:r>
    </w:p>
    <w:p w14:paraId="2FA1D0F7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outlineLvl w:val="2"/>
        <w:rPr>
          <w:rFonts w:hint="default" w:ascii="Arial" w:hAnsi="Arial" w:cs="Arial"/>
          <w:sz w:val="20"/>
          <w:szCs w:val="20"/>
        </w:rPr>
      </w:pPr>
    </w:p>
    <w:p w14:paraId="5EB4C39D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outlineLvl w:val="2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Current Strengths</w:t>
      </w:r>
    </w:p>
    <w:p w14:paraId="4140D800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Rule of 3 limits daily overload</w:t>
      </w:r>
    </w:p>
    <w:p w14:paraId="2CDE98C0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Brain Dump removes pre-categorization burden</w:t>
      </w:r>
    </w:p>
    <w:p w14:paraId="6F5078A3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Decision Helper reduces open-ended choices to 3 options</w:t>
      </w:r>
    </w:p>
    <w:p w14:paraId="7626850B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Playbooks turn repeated work into reusable routines</w:t>
      </w:r>
    </w:p>
    <w:p w14:paraId="381506A7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Chars="0"/>
        <w:textAlignment w:val="auto"/>
        <w:rPr>
          <w:rFonts w:hint="default" w:ascii="Arial" w:hAnsi="Arial" w:cs="Arial"/>
          <w:sz w:val="20"/>
          <w:szCs w:val="20"/>
        </w:rPr>
      </w:pPr>
    </w:p>
    <w:p w14:paraId="5503095A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outlineLvl w:val="2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Recommended Additions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0"/>
        <w:gridCol w:w="5326"/>
        <w:gridCol w:w="3744"/>
      </w:tblGrid>
      <w:tr w14:paraId="72E35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697A72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jc w:val="center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</w:rPr>
              <w:t>Area</w:t>
            </w:r>
          </w:p>
        </w:tc>
        <w:tc>
          <w:tcPr>
            <w:tcW w:w="0" w:type="auto"/>
            <w:shd w:val="clear"/>
            <w:vAlign w:val="center"/>
          </w:tcPr>
          <w:p w14:paraId="361E4917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jc w:val="center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</w:rPr>
              <w:t>Suggestion</w:t>
            </w:r>
          </w:p>
        </w:tc>
        <w:tc>
          <w:tcPr>
            <w:tcW w:w="0" w:type="auto"/>
            <w:shd w:val="clear"/>
            <w:vAlign w:val="center"/>
          </w:tcPr>
          <w:p w14:paraId="030C14D3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jc w:val="center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</w:rPr>
              <w:t>Rationale</w:t>
            </w:r>
          </w:p>
        </w:tc>
      </w:tr>
      <w:tr w14:paraId="693A7A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72E50E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cs="Arial"/>
                <w:sz w:val="20"/>
                <w:szCs w:val="20"/>
              </w:rPr>
              <w:t>Onboarding</w:t>
            </w:r>
          </w:p>
        </w:tc>
        <w:tc>
          <w:tcPr>
            <w:tcW w:w="0" w:type="auto"/>
            <w:shd w:val="clear"/>
            <w:vAlign w:val="center"/>
          </w:tcPr>
          <w:p w14:paraId="37722A9C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Add a single "First-time setup" flow (3–5 steps max) that: (1) captures business type, (2) creates one starter playbook, (3) does one brain dump → AI convert demo.</w:t>
            </w:r>
          </w:p>
        </w:tc>
        <w:tc>
          <w:tcPr>
            <w:tcW w:w="0" w:type="auto"/>
            <w:shd w:val="clear"/>
            <w:vAlign w:val="center"/>
          </w:tcPr>
          <w:p w14:paraId="52F88FE4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New users need a clear starting point; otherwise they may bounce between screens without a first action.</w:t>
            </w:r>
          </w:p>
        </w:tc>
      </w:tr>
      <w:tr w14:paraId="223560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80BA17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cs="Arial"/>
                <w:sz w:val="20"/>
                <w:szCs w:val="20"/>
              </w:rPr>
              <w:t>Navigation</w:t>
            </w:r>
          </w:p>
        </w:tc>
        <w:tc>
          <w:tcPr>
            <w:tcW w:w="0" w:type="auto"/>
            <w:shd w:val="clear"/>
            <w:vAlign w:val="center"/>
          </w:tcPr>
          <w:p w14:paraId="6F280164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Use a persistent horizon switcher: **Monthly</w:t>
            </w:r>
          </w:p>
        </w:tc>
        <w:tc>
          <w:tcPr>
            <w:tcW w:w="0" w:type="auto"/>
            <w:shd w:val="clear"/>
            <w:vAlign w:val="center"/>
          </w:tcPr>
          <w:p w14:paraId="56C1E63E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Weekly</w:t>
            </w:r>
          </w:p>
        </w:tc>
      </w:tr>
      <w:tr w14:paraId="59F6F1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1C5DD2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cs="Arial"/>
                <w:sz w:val="20"/>
                <w:szCs w:val="20"/>
              </w:rPr>
              <w:t>Empty states</w:t>
            </w:r>
          </w:p>
        </w:tc>
        <w:tc>
          <w:tcPr>
            <w:tcW w:w="0" w:type="auto"/>
            <w:shd w:val="clear"/>
            <w:vAlign w:val="center"/>
          </w:tcPr>
          <w:p w14:paraId="2FEA8598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Define explicit empty-state copy for each screen (e.g., "No playbooks yet. Add one or let AI suggest from your tasks.").</w:t>
            </w:r>
          </w:p>
        </w:tc>
        <w:tc>
          <w:tcPr>
            <w:tcW w:w="0" w:type="auto"/>
            <w:shd w:val="clear"/>
            <w:vAlign w:val="center"/>
          </w:tcPr>
          <w:p w14:paraId="48A67E4B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Prevents blank screens and gives a clear next action.</w:t>
            </w:r>
          </w:p>
        </w:tc>
      </w:tr>
      <w:tr w14:paraId="17B512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231F33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cs="Arial"/>
                <w:sz w:val="20"/>
                <w:szCs w:val="20"/>
              </w:rPr>
              <w:t>AI Convert</w:t>
            </w:r>
          </w:p>
        </w:tc>
        <w:tc>
          <w:tcPr>
            <w:tcW w:w="0" w:type="auto"/>
            <w:shd w:val="clear"/>
            <w:vAlign w:val="center"/>
          </w:tcPr>
          <w:p w14:paraId="0A20B370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Make "AI Convert" the default path for Brain Dump. Consider auto-convert on blur or after a short delay instead of requiring a button click.</w:t>
            </w:r>
          </w:p>
        </w:tc>
        <w:tc>
          <w:tcPr>
            <w:tcW w:w="0" w:type="auto"/>
            <w:shd w:val="clear"/>
            <w:vAlign w:val="center"/>
          </w:tcPr>
          <w:p w14:paraId="7BB9A1FB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One less decision; users who dump ideas often want them structured immediately.</w:t>
            </w:r>
          </w:p>
        </w:tc>
      </w:tr>
      <w:tr w14:paraId="3F291E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6499C3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cs="Arial"/>
                <w:sz w:val="20"/>
                <w:szCs w:val="20"/>
              </w:rPr>
              <w:t>Guided Mode entry</w:t>
            </w:r>
          </w:p>
        </w:tc>
        <w:tc>
          <w:tcPr>
            <w:tcW w:w="0" w:type="auto"/>
            <w:shd w:val="clear"/>
            <w:vAlign w:val="center"/>
          </w:tcPr>
          <w:p w14:paraId="338316D9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When user clicks "Start," go straight into Guided Mode. Avoid an intermediate "confirm" or "choose sub-tasks" step.</w:t>
            </w:r>
          </w:p>
        </w:tc>
        <w:tc>
          <w:tcPr>
            <w:tcW w:w="0" w:type="auto"/>
            <w:shd w:val="clear"/>
            <w:vAlign w:val="center"/>
          </w:tcPr>
          <w:p w14:paraId="658EE74B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Fewer clicks = less friction to begin.</w:t>
            </w:r>
          </w:p>
        </w:tc>
      </w:tr>
    </w:tbl>
    <w:p w14:paraId="2162A207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outlineLvl w:val="2"/>
        <w:rPr>
          <w:rFonts w:hint="default" w:ascii="Arial" w:hAnsi="Arial" w:cs="Arial"/>
          <w:sz w:val="20"/>
          <w:szCs w:val="20"/>
        </w:rPr>
      </w:pPr>
    </w:p>
    <w:p w14:paraId="6D698AFC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outlineLvl w:val="2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Simplification to Defer (Post-V1)</w:t>
      </w:r>
    </w:p>
    <w:p w14:paraId="6B78D224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Customizable views (Kanban, calendar) — adds complexity; keep table/card view for V1</w:t>
      </w:r>
    </w:p>
    <w:p w14:paraId="0170A129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Multiple AI models or personality options — stick to one consistent helper voice</w:t>
      </w:r>
    </w:p>
    <w:p w14:paraId="29159614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Chars="0"/>
        <w:textAlignment w:val="auto"/>
        <w:rPr>
          <w:rFonts w:hint="default" w:ascii="Arial" w:hAnsi="Arial" w:cs="Arial"/>
          <w:sz w:val="20"/>
          <w:szCs w:val="20"/>
        </w:rPr>
      </w:pPr>
    </w:p>
    <w:p w14:paraId="1E783E9F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91ABDF"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outlineLvl w:val="1"/>
        <w:rPr>
          <w:rFonts w:hint="default" w:ascii="Arial" w:hAnsi="Arial" w:cs="Arial"/>
          <w:color w:val="2E75B6" w:themeColor="accent1" w:themeShade="BF"/>
          <w:sz w:val="20"/>
          <w:szCs w:val="20"/>
          <w:u w:val="single"/>
        </w:rPr>
      </w:pPr>
      <w:r>
        <w:rPr>
          <w:rFonts w:hint="default" w:ascii="Arial" w:hAnsi="Arial" w:cs="Arial"/>
          <w:color w:val="2E75B6" w:themeColor="accent1" w:themeShade="BF"/>
          <w:sz w:val="20"/>
          <w:szCs w:val="20"/>
          <w:u w:val="single"/>
        </w:rPr>
        <w:t>2. Ease of Use</w:t>
      </w:r>
    </w:p>
    <w:p w14:paraId="468091E0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outlineLvl w:val="2"/>
        <w:rPr>
          <w:rFonts w:hint="default" w:ascii="Arial" w:hAnsi="Arial" w:cs="Arial"/>
          <w:sz w:val="20"/>
          <w:szCs w:val="20"/>
        </w:rPr>
      </w:pPr>
    </w:p>
    <w:p w14:paraId="5D870F27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outlineLvl w:val="2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Current Strengths</w:t>
      </w:r>
    </w:p>
    <w:p w14:paraId="3D4E59A4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Consistent button placement (Open/Edit, Start/Pause/Done)</w:t>
      </w:r>
    </w:p>
    <w:p w14:paraId="27D7B9B2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Clear column headers and task types</w:t>
      </w:r>
    </w:p>
    <w:p w14:paraId="320C9CF6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Helper explains what AI did and suggests next steps</w:t>
      </w:r>
    </w:p>
    <w:p w14:paraId="69E7A812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Chars="0"/>
        <w:textAlignment w:val="auto"/>
        <w:rPr>
          <w:rFonts w:hint="default" w:ascii="Arial" w:hAnsi="Arial" w:cs="Arial"/>
          <w:sz w:val="20"/>
          <w:szCs w:val="20"/>
        </w:rPr>
      </w:pPr>
    </w:p>
    <w:p w14:paraId="606E1E52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outlineLvl w:val="2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Recommended Additions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5"/>
        <w:gridCol w:w="6139"/>
        <w:gridCol w:w="3046"/>
      </w:tblGrid>
      <w:tr w14:paraId="4EB9FF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0AB891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jc w:val="center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</w:rPr>
              <w:t>Area</w:t>
            </w:r>
          </w:p>
        </w:tc>
        <w:tc>
          <w:tcPr>
            <w:tcW w:w="0" w:type="auto"/>
            <w:shd w:val="clear"/>
            <w:vAlign w:val="center"/>
          </w:tcPr>
          <w:p w14:paraId="52CECAEA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jc w:val="center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</w:rPr>
              <w:t>Suggestion</w:t>
            </w:r>
          </w:p>
        </w:tc>
        <w:tc>
          <w:tcPr>
            <w:tcW w:w="0" w:type="auto"/>
            <w:shd w:val="clear"/>
            <w:vAlign w:val="center"/>
          </w:tcPr>
          <w:p w14:paraId="50E03EE1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jc w:val="center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</w:rPr>
              <w:t>Rationale</w:t>
            </w:r>
          </w:p>
        </w:tc>
      </w:tr>
      <w:tr w14:paraId="5F3A76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7F5A56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cs="Arial"/>
                <w:sz w:val="20"/>
                <w:szCs w:val="20"/>
              </w:rPr>
              <w:t>Keyboard shortcuts</w:t>
            </w:r>
          </w:p>
        </w:tc>
        <w:tc>
          <w:tcPr>
            <w:tcW w:w="0" w:type="auto"/>
            <w:shd w:val="clear"/>
            <w:vAlign w:val="center"/>
          </w:tcPr>
          <w:p w14:paraId="184D5FB3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 xml:space="preserve">Support: </w:t>
            </w:r>
            <w:r>
              <w:rPr>
                <w:rStyle w:val="8"/>
                <w:rFonts w:hint="default" w:ascii="Arial" w:hAnsi="Arial" w:cs="Arial"/>
                <w:sz w:val="20"/>
                <w:szCs w:val="20"/>
              </w:rPr>
              <w:t>N</w:t>
            </w:r>
            <w:r>
              <w:rPr>
                <w:rFonts w:hint="default" w:ascii="Arial" w:hAnsi="Arial" w:cs="Arial"/>
                <w:sz w:val="20"/>
                <w:szCs w:val="20"/>
              </w:rPr>
              <w:t xml:space="preserve"> (new task/idea), </w:t>
            </w:r>
            <w:r>
              <w:rPr>
                <w:rStyle w:val="8"/>
                <w:rFonts w:hint="default" w:ascii="Arial" w:hAnsi="Arial" w:cs="Arial"/>
                <w:sz w:val="20"/>
                <w:szCs w:val="20"/>
              </w:rPr>
              <w:t>Enter</w:t>
            </w:r>
            <w:r>
              <w:rPr>
                <w:rFonts w:hint="default" w:ascii="Arial" w:hAnsi="Arial" w:cs="Arial"/>
                <w:sz w:val="20"/>
                <w:szCs w:val="20"/>
              </w:rPr>
              <w:t xml:space="preserve"> (submit), </w:t>
            </w:r>
            <w:r>
              <w:rPr>
                <w:rStyle w:val="8"/>
                <w:rFonts w:hint="default" w:ascii="Arial" w:hAnsi="Arial" w:cs="Arial"/>
                <w:sz w:val="20"/>
                <w:szCs w:val="20"/>
              </w:rPr>
              <w:t>Esc</w:t>
            </w:r>
            <w:r>
              <w:rPr>
                <w:rFonts w:hint="default" w:ascii="Arial" w:hAnsi="Arial" w:cs="Arial"/>
                <w:sz w:val="20"/>
                <w:szCs w:val="20"/>
              </w:rPr>
              <w:t xml:space="preserve"> (back/cancel), </w:t>
            </w:r>
            <w:r>
              <w:rPr>
                <w:rStyle w:val="8"/>
                <w:rFonts w:hint="default" w:ascii="Arial" w:hAnsi="Arial" w:cs="Arial"/>
                <w:sz w:val="20"/>
                <w:szCs w:val="20"/>
              </w:rPr>
              <w:t>1/2/3</w:t>
            </w:r>
            <w:r>
              <w:rPr>
                <w:rFonts w:hint="default" w:ascii="Arial" w:hAnsi="Arial" w:cs="Arial"/>
                <w:sz w:val="20"/>
                <w:szCs w:val="20"/>
              </w:rPr>
              <w:t xml:space="preserve"> (select top 3 task). Document in a "?" or keyboard icon.</w:t>
            </w:r>
          </w:p>
        </w:tc>
        <w:tc>
          <w:tcPr>
            <w:tcW w:w="0" w:type="auto"/>
            <w:shd w:val="clear"/>
            <w:vAlign w:val="center"/>
          </w:tcPr>
          <w:p w14:paraId="68FA17F5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Power users and many neurodivergent users prefer keyboard flow.</w:t>
            </w:r>
          </w:p>
        </w:tc>
      </w:tr>
      <w:tr w14:paraId="564F3C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5C295C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cs="Arial"/>
                <w:sz w:val="20"/>
                <w:szCs w:val="20"/>
              </w:rPr>
              <w:t>Loading states</w:t>
            </w:r>
          </w:p>
        </w:tc>
        <w:tc>
          <w:tcPr>
            <w:tcW w:w="0" w:type="auto"/>
            <w:shd w:val="clear"/>
            <w:vAlign w:val="center"/>
          </w:tcPr>
          <w:p w14:paraId="28E78530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Show clear loading indicators for: AI Convert, AI Suggest Top 3, Decision Helper options. Use skeleton loaders or spinners with short messages ("Organizing your ideas...").</w:t>
            </w:r>
          </w:p>
        </w:tc>
        <w:tc>
          <w:tcPr>
            <w:tcW w:w="0" w:type="auto"/>
            <w:shd w:val="clear"/>
            <w:vAlign w:val="center"/>
          </w:tcPr>
          <w:p w14:paraId="6A9CE0FC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Reduces anxiety when AI is "thinking"; users know the system is working.</w:t>
            </w:r>
          </w:p>
        </w:tc>
      </w:tr>
      <w:tr w14:paraId="15F7B9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6416CF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cs="Arial"/>
                <w:sz w:val="20"/>
                <w:szCs w:val="20"/>
              </w:rPr>
              <w:t>Undo</w:t>
            </w:r>
          </w:p>
        </w:tc>
        <w:tc>
          <w:tcPr>
            <w:tcW w:w="0" w:type="auto"/>
            <w:shd w:val="clear"/>
            <w:vAlign w:val="center"/>
          </w:tcPr>
          <w:p w14:paraId="46FED827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Allow "Undo" for: marking task Done, choosing a Decision option. Short window (e.g., 5 seconds) with toast.</w:t>
            </w:r>
          </w:p>
        </w:tc>
        <w:tc>
          <w:tcPr>
            <w:tcW w:w="0" w:type="auto"/>
            <w:shd w:val="clear"/>
            <w:vAlign w:val="center"/>
          </w:tcPr>
          <w:p w14:paraId="21765B15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Mistakes happen; undo reduces fear of irreversible actions.</w:t>
            </w:r>
          </w:p>
        </w:tc>
      </w:tr>
      <w:tr w14:paraId="41B1F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CA90D6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cs="Arial"/>
                <w:sz w:val="20"/>
                <w:szCs w:val="20"/>
              </w:rPr>
              <w:t>Quick add</w:t>
            </w:r>
          </w:p>
        </w:tc>
        <w:tc>
          <w:tcPr>
            <w:tcW w:w="0" w:type="auto"/>
            <w:shd w:val="clear"/>
            <w:vAlign w:val="center"/>
          </w:tcPr>
          <w:p w14:paraId="0F8C6C8F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Add a floating "+" or persistent "Add idea" bar on Weekly Planning so users can capture without scrolling to Brain Dump.</w:t>
            </w:r>
          </w:p>
        </w:tc>
        <w:tc>
          <w:tcPr>
            <w:tcW w:w="0" w:type="auto"/>
            <w:shd w:val="clear"/>
            <w:vAlign w:val="center"/>
          </w:tcPr>
          <w:p w14:paraId="506EA177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Captures thoughts before they’re lost.</w:t>
            </w:r>
          </w:p>
        </w:tc>
      </w:tr>
      <w:tr w14:paraId="7AE857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75083F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cs="Arial"/>
                <w:sz w:val="20"/>
                <w:szCs w:val="20"/>
              </w:rPr>
              <w:t>Focus sentence</w:t>
            </w:r>
          </w:p>
        </w:tc>
        <w:tc>
          <w:tcPr>
            <w:tcW w:w="0" w:type="auto"/>
            <w:shd w:val="clear"/>
            <w:vAlign w:val="center"/>
          </w:tcPr>
          <w:p w14:paraId="058D42E6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Offer AI-suggested focus sentence based on top 3 tasks (e.g., "Today is for: inventory, content, and vendor payments"). User can accept or edit.</w:t>
            </w:r>
          </w:p>
        </w:tc>
        <w:tc>
          <w:tcPr>
            <w:tcW w:w="0" w:type="auto"/>
            <w:shd w:val="clear"/>
            <w:vAlign w:val="center"/>
          </w:tcPr>
          <w:p w14:paraId="68B339A0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Reduces blank-page syndrome; still user-controlled.</w:t>
            </w:r>
          </w:p>
        </w:tc>
      </w:tr>
      <w:tr w14:paraId="274122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C32B5F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cs="Arial"/>
                <w:sz w:val="20"/>
                <w:szCs w:val="20"/>
              </w:rPr>
              <w:t>Tooltips</w:t>
            </w:r>
          </w:p>
        </w:tc>
        <w:tc>
          <w:tcPr>
            <w:tcW w:w="0" w:type="auto"/>
            <w:shd w:val="clear"/>
            <w:vAlign w:val="center"/>
          </w:tcPr>
          <w:p w14:paraId="093608A8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 xml:space="preserve">Add optional tooltips for: </w:t>
            </w:r>
            <w:r>
              <w:rPr>
                <w:rStyle w:val="8"/>
                <w:rFonts w:hint="default" w:ascii="Arial" w:hAnsi="Arial" w:cs="Arial"/>
                <w:sz w:val="20"/>
                <w:szCs w:val="20"/>
              </w:rPr>
              <w:t>*</w:t>
            </w:r>
            <w:r>
              <w:rPr>
                <w:rFonts w:hint="default" w:ascii="Arial" w:hAnsi="Arial" w:cs="Arial"/>
                <w:sz w:val="20"/>
                <w:szCs w:val="20"/>
              </w:rPr>
              <w:t xml:space="preserve"> (Top 3), Type (one-off/repeat/playbook), Timebox, Task age. Keep them dismissible and low-noise.</w:t>
            </w:r>
          </w:p>
        </w:tc>
        <w:tc>
          <w:tcPr>
            <w:tcW w:w="0" w:type="auto"/>
            <w:shd w:val="clear"/>
            <w:vAlign w:val="center"/>
          </w:tcPr>
          <w:p w14:paraId="0555D51E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Clarifies meaning without cluttering the main UI.</w:t>
            </w:r>
          </w:p>
        </w:tc>
      </w:tr>
    </w:tbl>
    <w:p w14:paraId="7C79547E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outlineLvl w:val="2"/>
        <w:rPr>
          <w:rFonts w:hint="default" w:ascii="Arial" w:hAnsi="Arial" w:cs="Arial"/>
          <w:sz w:val="20"/>
          <w:szCs w:val="20"/>
        </w:rPr>
      </w:pPr>
    </w:p>
    <w:p w14:paraId="1F0EE3F5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outlineLvl w:val="2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Ease of Use to Defer (Post-V1)</w:t>
      </w:r>
    </w:p>
    <w:p w14:paraId="065BEC64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Drag-and-drop reordering — adds interaction complexity</w:t>
      </w:r>
    </w:p>
    <w:p w14:paraId="62C50F6A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Bulk actions (e.g., mark multiple Done) — edge case for V1</w:t>
      </w:r>
    </w:p>
    <w:p w14:paraId="545959E3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Chars="0"/>
        <w:textAlignment w:val="auto"/>
        <w:rPr>
          <w:rFonts w:hint="default" w:ascii="Arial" w:hAnsi="Arial" w:cs="Arial"/>
          <w:sz w:val="20"/>
          <w:szCs w:val="20"/>
        </w:rPr>
      </w:pPr>
    </w:p>
    <w:p w14:paraId="19966E31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10C1F8"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outlineLvl w:val="1"/>
        <w:rPr>
          <w:rFonts w:hint="default" w:ascii="Arial" w:hAnsi="Arial" w:cs="Arial"/>
          <w:color w:val="2E75B6" w:themeColor="accent1" w:themeShade="BF"/>
          <w:sz w:val="20"/>
          <w:szCs w:val="20"/>
          <w:u w:val="single"/>
        </w:rPr>
      </w:pPr>
      <w:r>
        <w:rPr>
          <w:rFonts w:hint="default" w:ascii="Arial" w:hAnsi="Arial" w:cs="Arial"/>
          <w:color w:val="2E75B6" w:themeColor="accent1" w:themeShade="BF"/>
          <w:sz w:val="20"/>
          <w:szCs w:val="20"/>
          <w:u w:val="single"/>
        </w:rPr>
        <w:t>3. Design for Neurodivergent Users</w:t>
      </w:r>
    </w:p>
    <w:p w14:paraId="47B4319F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outlineLvl w:val="2"/>
        <w:rPr>
          <w:rFonts w:hint="default" w:ascii="Arial" w:hAnsi="Arial" w:cs="Arial"/>
          <w:sz w:val="20"/>
          <w:szCs w:val="20"/>
        </w:rPr>
      </w:pPr>
    </w:p>
    <w:p w14:paraId="5B201421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outlineLvl w:val="2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Current Strengths</w:t>
      </w:r>
    </w:p>
    <w:p w14:paraId="53797A8F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Limited visible items (Rule of 3, playbook cards)</w:t>
      </w:r>
    </w:p>
    <w:p w14:paraId="37CBC0B8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Explicit steps and sub-tasks</w:t>
      </w:r>
    </w:p>
    <w:p w14:paraId="16AD506A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Decision Helper reduces analysis paralysis</w:t>
      </w:r>
    </w:p>
    <w:p w14:paraId="2B96917A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Consistent layout and predictable structure</w:t>
      </w:r>
    </w:p>
    <w:p w14:paraId="3A4D102F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Chars="0"/>
        <w:textAlignment w:val="auto"/>
        <w:rPr>
          <w:rFonts w:hint="default" w:ascii="Arial" w:hAnsi="Arial" w:cs="Arial"/>
          <w:sz w:val="20"/>
          <w:szCs w:val="20"/>
        </w:rPr>
      </w:pPr>
    </w:p>
    <w:p w14:paraId="4F7ACF42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outlineLvl w:val="2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Recommended Additions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5"/>
        <w:gridCol w:w="5605"/>
        <w:gridCol w:w="3480"/>
      </w:tblGrid>
      <w:tr w14:paraId="146B2A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84E72C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jc w:val="center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</w:rPr>
              <w:t>Area</w:t>
            </w:r>
          </w:p>
        </w:tc>
        <w:tc>
          <w:tcPr>
            <w:tcW w:w="0" w:type="auto"/>
            <w:shd w:val="clear"/>
            <w:vAlign w:val="center"/>
          </w:tcPr>
          <w:p w14:paraId="022B2135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jc w:val="center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</w:rPr>
              <w:t>Suggestion</w:t>
            </w:r>
          </w:p>
        </w:tc>
        <w:tc>
          <w:tcPr>
            <w:tcW w:w="0" w:type="auto"/>
            <w:shd w:val="clear"/>
            <w:vAlign w:val="center"/>
          </w:tcPr>
          <w:p w14:paraId="04FFA020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jc w:val="center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</w:rPr>
              <w:t>Rationale</w:t>
            </w:r>
          </w:p>
        </w:tc>
      </w:tr>
      <w:tr w14:paraId="408B77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351AC1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cs="Arial"/>
                <w:sz w:val="20"/>
                <w:szCs w:val="20"/>
              </w:rPr>
              <w:t>Reduced motion</w:t>
            </w:r>
          </w:p>
        </w:tc>
        <w:tc>
          <w:tcPr>
            <w:tcW w:w="0" w:type="auto"/>
            <w:shd w:val="clear"/>
            <w:vAlign w:val="center"/>
          </w:tcPr>
          <w:p w14:paraId="7A78FE95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Add a user setting: "Reduce motion" (off by default). When on: disable animations, transitions, and auto-scrolling.</w:t>
            </w:r>
          </w:p>
        </w:tc>
        <w:tc>
          <w:tcPr>
            <w:tcW w:w="0" w:type="auto"/>
            <w:shd w:val="clear"/>
            <w:vAlign w:val="center"/>
          </w:tcPr>
          <w:p w14:paraId="3C9BD950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Many neurodivergent users are sensitive to motion; WCAG 2.1 Level AAA supports this.</w:t>
            </w:r>
          </w:p>
        </w:tc>
      </w:tr>
      <w:tr w14:paraId="12DEF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CF5589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cs="Arial"/>
                <w:sz w:val="20"/>
                <w:szCs w:val="20"/>
              </w:rPr>
              <w:t>High contrast mode</w:t>
            </w:r>
          </w:p>
        </w:tc>
        <w:tc>
          <w:tcPr>
            <w:tcW w:w="0" w:type="auto"/>
            <w:shd w:val="clear"/>
            <w:vAlign w:val="center"/>
          </w:tcPr>
          <w:p w14:paraId="7E82E1AC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Offer a high-contrast theme (e.g., dark mode or increased contrast). Ensure text meets WCAG AA minimum (4.5:1 for normal text).</w:t>
            </w:r>
          </w:p>
        </w:tc>
        <w:tc>
          <w:tcPr>
            <w:tcW w:w="0" w:type="auto"/>
            <w:shd w:val="clear"/>
            <w:vAlign w:val="center"/>
          </w:tcPr>
          <w:p w14:paraId="6165717B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Supports visual processing differences and light sensitivity.</w:t>
            </w:r>
          </w:p>
        </w:tc>
      </w:tr>
      <w:tr w14:paraId="3994C2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B01837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cs="Arial"/>
                <w:sz w:val="20"/>
                <w:szCs w:val="20"/>
              </w:rPr>
              <w:t>Font and size</w:t>
            </w:r>
          </w:p>
        </w:tc>
        <w:tc>
          <w:tcPr>
            <w:tcW w:w="0" w:type="auto"/>
            <w:shd w:val="clear"/>
            <w:vAlign w:val="center"/>
          </w:tcPr>
          <w:p w14:paraId="26B5EF43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Allow font size adjustment (e.g., 90%, 100%, 110%, 125%) and a dyslexia-friendly font option (e.g., OpenDyslexic).</w:t>
            </w:r>
          </w:p>
        </w:tc>
        <w:tc>
          <w:tcPr>
            <w:tcW w:w="0" w:type="auto"/>
            <w:shd w:val="clear"/>
            <w:vAlign w:val="center"/>
          </w:tcPr>
          <w:p w14:paraId="0E7686C6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Reading differences are common; this is low-effort, high-impact.</w:t>
            </w:r>
          </w:p>
        </w:tc>
      </w:tr>
      <w:tr w14:paraId="092A1F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5C9925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cs="Arial"/>
                <w:sz w:val="20"/>
                <w:szCs w:val="20"/>
              </w:rPr>
              <w:t>Focus mode</w:t>
            </w:r>
          </w:p>
        </w:tc>
        <w:tc>
          <w:tcPr>
            <w:tcW w:w="0" w:type="auto"/>
            <w:shd w:val="clear"/>
            <w:vAlign w:val="center"/>
          </w:tcPr>
          <w:p w14:paraId="04C42D74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On Daily screen, add "Focus mode" that hides header, helper chat, and extra UI—shows only the 3 tasks and essential actions.</w:t>
            </w:r>
          </w:p>
        </w:tc>
        <w:tc>
          <w:tcPr>
            <w:tcW w:w="0" w:type="auto"/>
            <w:shd w:val="clear"/>
            <w:vAlign w:val="center"/>
          </w:tcPr>
          <w:p w14:paraId="09724D9B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Reduces distraction and sensory load during execution.</w:t>
            </w:r>
          </w:p>
        </w:tc>
      </w:tr>
      <w:tr w14:paraId="0A82F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EA3167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cs="Arial"/>
                <w:sz w:val="20"/>
                <w:szCs w:val="20"/>
              </w:rPr>
              <w:t>Explicit state labels</w:t>
            </w:r>
          </w:p>
        </w:tc>
        <w:tc>
          <w:tcPr>
            <w:tcW w:w="0" w:type="auto"/>
            <w:shd w:val="clear"/>
            <w:vAlign w:val="center"/>
          </w:tcPr>
          <w:p w14:paraId="18E5B7C0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Use clear status labels: "Not started," "In progress," "Paused," "Done." Avoid icons-only; pair with text.</w:t>
            </w:r>
          </w:p>
        </w:tc>
        <w:tc>
          <w:tcPr>
            <w:tcW w:w="0" w:type="auto"/>
            <w:shd w:val="clear"/>
            <w:vAlign w:val="center"/>
          </w:tcPr>
          <w:p w14:paraId="311D75B9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Reduces ambiguity; some users struggle with icon-only communication.</w:t>
            </w:r>
          </w:p>
        </w:tc>
      </w:tr>
      <w:tr w14:paraId="633DBC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8CA7D1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cs="Arial"/>
                <w:sz w:val="20"/>
                <w:szCs w:val="20"/>
              </w:rPr>
              <w:t>Helper tone</w:t>
            </w:r>
          </w:p>
        </w:tc>
        <w:tc>
          <w:tcPr>
            <w:tcW w:w="0" w:type="auto"/>
            <w:shd w:val="clear"/>
            <w:vAlign w:val="center"/>
          </w:tcPr>
          <w:p w14:paraId="1F3FB0AB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Keep helper language: concrete, low-jargon, reassuring. Avoid "You should" or "You must"; prefer "You might start with..." or "A good next step is...".</w:t>
            </w:r>
          </w:p>
        </w:tc>
        <w:tc>
          <w:tcPr>
            <w:tcW w:w="0" w:type="auto"/>
            <w:shd w:val="clear"/>
            <w:vAlign w:val="center"/>
          </w:tcPr>
          <w:p w14:paraId="61F386E9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Reduces performance anxiety and shame; supports autonomy.</w:t>
            </w:r>
          </w:p>
        </w:tc>
      </w:tr>
      <w:tr w14:paraId="72BA7E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88E6D9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cs="Arial"/>
                <w:sz w:val="20"/>
                <w:szCs w:val="20"/>
              </w:rPr>
              <w:t>Predictable AI</w:t>
            </w:r>
          </w:p>
        </w:tc>
        <w:tc>
          <w:tcPr>
            <w:tcW w:w="0" w:type="auto"/>
            <w:shd w:val="clear"/>
            <w:vAlign w:val="center"/>
          </w:tcPr>
          <w:p w14:paraId="5BC5F9D4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 xml:space="preserve">When AI suggests or converts, briefly explain </w:t>
            </w:r>
            <w:r>
              <w:rPr>
                <w:rStyle w:val="7"/>
                <w:rFonts w:hint="default" w:ascii="Arial" w:hAnsi="Arial" w:cs="Arial"/>
                <w:sz w:val="20"/>
                <w:szCs w:val="20"/>
              </w:rPr>
              <w:t>why</w:t>
            </w:r>
            <w:r>
              <w:rPr>
                <w:rFonts w:hint="default" w:ascii="Arial" w:hAnsi="Arial" w:cs="Arial"/>
                <w:sz w:val="20"/>
                <w:szCs w:val="20"/>
              </w:rPr>
              <w:t xml:space="preserve"> in plain language (e.g., "I marked these as top 3 because they’re high-impact and have been open for a few days.").</w:t>
            </w:r>
          </w:p>
        </w:tc>
        <w:tc>
          <w:tcPr>
            <w:tcW w:w="0" w:type="auto"/>
            <w:shd w:val="clear"/>
            <w:vAlign w:val="center"/>
          </w:tcPr>
          <w:p w14:paraId="2432EB69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Reduces "black box" anxiety; builds trust.</w:t>
            </w:r>
          </w:p>
        </w:tc>
      </w:tr>
      <w:tr w14:paraId="4B86FF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F44D90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cs="Arial"/>
                <w:sz w:val="20"/>
                <w:szCs w:val="20"/>
              </w:rPr>
              <w:t>Pause without guilt</w:t>
            </w:r>
          </w:p>
        </w:tc>
        <w:tc>
          <w:tcPr>
            <w:tcW w:w="0" w:type="auto"/>
            <w:shd w:val="clear"/>
            <w:vAlign w:val="center"/>
          </w:tcPr>
          <w:p w14:paraId="67495508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Make Pause prominent and neutral. Optional: "Pause and schedule for later" with a date picker so the task doesn’t feel abandoned.</w:t>
            </w:r>
          </w:p>
        </w:tc>
        <w:tc>
          <w:tcPr>
            <w:tcW w:w="0" w:type="auto"/>
            <w:shd w:val="clear"/>
            <w:vAlign w:val="center"/>
          </w:tcPr>
          <w:p w14:paraId="1497D9D9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Supports energy fluctuations and task-switching without shame.</w:t>
            </w:r>
          </w:p>
        </w:tc>
      </w:tr>
    </w:tbl>
    <w:p w14:paraId="041432CF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outlineLvl w:val="2"/>
        <w:rPr>
          <w:rFonts w:hint="default" w:ascii="Arial" w:hAnsi="Arial" w:cs="Arial"/>
          <w:sz w:val="20"/>
          <w:szCs w:val="20"/>
        </w:rPr>
      </w:pPr>
    </w:p>
    <w:p w14:paraId="576F278F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outlineLvl w:val="2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Neurodivergent Design to Defer (Post-V1)</w:t>
      </w:r>
    </w:p>
    <w:p w14:paraId="7167F0E5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Auditory cues/reminders — requires careful design to avoid sensory overload</w:t>
      </w:r>
    </w:p>
    <w:p w14:paraId="7897327F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Customizable color-coding per goal/task — valuable but adds settings complexity</w:t>
      </w:r>
    </w:p>
    <w:p w14:paraId="7C0419A9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Chars="0"/>
        <w:textAlignment w:val="auto"/>
        <w:rPr>
          <w:rFonts w:hint="default" w:ascii="Arial" w:hAnsi="Arial" w:cs="Arial"/>
          <w:sz w:val="20"/>
          <w:szCs w:val="20"/>
        </w:rPr>
      </w:pPr>
    </w:p>
    <w:p w14:paraId="66A388A6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AB1B32"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outlineLvl w:val="1"/>
        <w:rPr>
          <w:rFonts w:hint="default" w:ascii="Arial" w:hAnsi="Arial" w:cs="Arial"/>
          <w:color w:val="2E75B6" w:themeColor="accent1" w:themeShade="BF"/>
          <w:sz w:val="20"/>
          <w:szCs w:val="20"/>
          <w:u w:val="single"/>
        </w:rPr>
      </w:pPr>
      <w:r>
        <w:rPr>
          <w:rFonts w:hint="default" w:ascii="Arial" w:hAnsi="Arial" w:cs="Arial"/>
          <w:color w:val="2E75B6" w:themeColor="accent1" w:themeShade="BF"/>
          <w:sz w:val="20"/>
          <w:szCs w:val="20"/>
          <w:u w:val="single"/>
        </w:rPr>
        <w:t>4. Azure Migration Readiness</w:t>
      </w:r>
    </w:p>
    <w:p w14:paraId="647EC4C9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outlineLvl w:val="2"/>
        <w:rPr>
          <w:rFonts w:hint="default" w:ascii="Arial" w:hAnsi="Arial" w:cs="Arial"/>
          <w:sz w:val="20"/>
          <w:szCs w:val="20"/>
        </w:rPr>
      </w:pPr>
    </w:p>
    <w:p w14:paraId="6D26965B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outlineLvl w:val="2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Architecture Recommendations for V1 (Local-First, Azure-Ready)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5"/>
        <w:gridCol w:w="4064"/>
        <w:gridCol w:w="5461"/>
      </w:tblGrid>
      <w:tr w14:paraId="0FDFAF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0BF9BD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jc w:val="center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0" w:type="auto"/>
            <w:shd w:val="clear"/>
            <w:vAlign w:val="center"/>
          </w:tcPr>
          <w:p w14:paraId="6287D23A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jc w:val="center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</w:rPr>
              <w:t>V1 Local Approach</w:t>
            </w:r>
          </w:p>
        </w:tc>
        <w:tc>
          <w:tcPr>
            <w:tcW w:w="0" w:type="auto"/>
            <w:shd w:val="clear"/>
            <w:vAlign w:val="center"/>
          </w:tcPr>
          <w:p w14:paraId="427CF926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jc w:val="center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</w:rPr>
              <w:t>Azure Target (Post-Migration)</w:t>
            </w:r>
          </w:p>
        </w:tc>
      </w:tr>
      <w:tr w14:paraId="4B293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83F3AC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cs="Arial"/>
                <w:sz w:val="20"/>
                <w:szCs w:val="20"/>
              </w:rPr>
              <w:t>Auth</w:t>
            </w:r>
          </w:p>
        </w:tc>
        <w:tc>
          <w:tcPr>
            <w:tcW w:w="0" w:type="auto"/>
            <w:shd w:val="clear"/>
            <w:vAlign w:val="center"/>
          </w:tcPr>
          <w:p w14:paraId="38A9BD50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Simple local auth or mock (e.g., single user, dev tokens)</w:t>
            </w:r>
          </w:p>
        </w:tc>
        <w:tc>
          <w:tcPr>
            <w:tcW w:w="0" w:type="auto"/>
            <w:shd w:val="clear"/>
            <w:vAlign w:val="center"/>
          </w:tcPr>
          <w:p w14:paraId="798F213B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Azure Entra ID (formerly Azure AD) or Azure AD B2C for multi-tenant</w:t>
            </w:r>
          </w:p>
        </w:tc>
      </w:tr>
      <w:tr w14:paraId="6B7FEB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6D647D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cs="Arial"/>
                <w:sz w:val="20"/>
                <w:szCs w:val="20"/>
              </w:rPr>
              <w:t>Database</w:t>
            </w:r>
          </w:p>
        </w:tc>
        <w:tc>
          <w:tcPr>
            <w:tcW w:w="0" w:type="auto"/>
            <w:shd w:val="clear"/>
            <w:vAlign w:val="center"/>
          </w:tcPr>
          <w:p w14:paraId="6D009DFC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SQLite or local PostgreSQL</w:t>
            </w:r>
          </w:p>
        </w:tc>
        <w:tc>
          <w:tcPr>
            <w:tcW w:w="0" w:type="auto"/>
            <w:shd w:val="clear"/>
            <w:vAlign w:val="center"/>
          </w:tcPr>
          <w:p w14:paraId="089C4CAE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Azure SQL Database or Azure Cosmos DB</w:t>
            </w:r>
          </w:p>
        </w:tc>
      </w:tr>
      <w:tr w14:paraId="37D2A4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CA0AB9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cs="Arial"/>
                <w:sz w:val="20"/>
                <w:szCs w:val="20"/>
              </w:rPr>
              <w:t>AI/LLM</w:t>
            </w:r>
          </w:p>
        </w:tc>
        <w:tc>
          <w:tcPr>
            <w:tcW w:w="0" w:type="auto"/>
            <w:shd w:val="clear"/>
            <w:vAlign w:val="center"/>
          </w:tcPr>
          <w:p w14:paraId="7BFCB5E8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OpenAI API or Azure OpenAI (same API surface)</w:t>
            </w:r>
          </w:p>
        </w:tc>
        <w:tc>
          <w:tcPr>
            <w:tcW w:w="0" w:type="auto"/>
            <w:shd w:val="clear"/>
            <w:vAlign w:val="center"/>
          </w:tcPr>
          <w:p w14:paraId="26E2826E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Azure OpenAI Service — use from day one if possible for seamless migration</w:t>
            </w:r>
          </w:p>
        </w:tc>
      </w:tr>
      <w:tr w14:paraId="58356E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BAE6D0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cs="Arial"/>
                <w:sz w:val="20"/>
                <w:szCs w:val="20"/>
              </w:rPr>
              <w:t>File/Blob</w:t>
            </w:r>
          </w:p>
        </w:tc>
        <w:tc>
          <w:tcPr>
            <w:tcW w:w="0" w:type="auto"/>
            <w:shd w:val="clear"/>
            <w:vAlign w:val="center"/>
          </w:tcPr>
          <w:p w14:paraId="411C8256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Local file system</w:t>
            </w:r>
          </w:p>
        </w:tc>
        <w:tc>
          <w:tcPr>
            <w:tcW w:w="0" w:type="auto"/>
            <w:shd w:val="clear"/>
            <w:vAlign w:val="center"/>
          </w:tcPr>
          <w:p w14:paraId="4C982352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Azure Blob Storage</w:t>
            </w:r>
          </w:p>
        </w:tc>
      </w:tr>
      <w:tr w14:paraId="54EF28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3CA97C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cs="Arial"/>
                <w:sz w:val="20"/>
                <w:szCs w:val="20"/>
              </w:rPr>
              <w:t>API</w:t>
            </w:r>
          </w:p>
        </w:tc>
        <w:tc>
          <w:tcPr>
            <w:tcW w:w="0" w:type="auto"/>
            <w:shd w:val="clear"/>
            <w:vAlign w:val="center"/>
          </w:tcPr>
          <w:p w14:paraId="7389C820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REST or minimal backend (e.g., .NET, Node)</w:t>
            </w:r>
          </w:p>
        </w:tc>
        <w:tc>
          <w:tcPr>
            <w:tcW w:w="0" w:type="auto"/>
            <w:shd w:val="clear"/>
            <w:vAlign w:val="center"/>
          </w:tcPr>
          <w:p w14:paraId="59316C3A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Azure App Service or Azure Functions</w:t>
            </w:r>
          </w:p>
        </w:tc>
      </w:tr>
      <w:tr w14:paraId="2EC3D2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4EAF3B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cs="Arial"/>
                <w:sz w:val="20"/>
                <w:szCs w:val="20"/>
              </w:rPr>
              <w:t>Frontend</w:t>
            </w:r>
          </w:p>
        </w:tc>
        <w:tc>
          <w:tcPr>
            <w:tcW w:w="0" w:type="auto"/>
            <w:shd w:val="clear"/>
            <w:vAlign w:val="center"/>
          </w:tcPr>
          <w:p w14:paraId="728AE0C0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SPA (React, Vue, etc.) or Blazor</w:t>
            </w:r>
          </w:p>
        </w:tc>
        <w:tc>
          <w:tcPr>
            <w:tcW w:w="0" w:type="auto"/>
            <w:shd w:val="clear"/>
            <w:vAlign w:val="center"/>
          </w:tcPr>
          <w:p w14:paraId="7EC7E2F8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Azure Static Web Apps or App Service</w:t>
            </w:r>
          </w:p>
        </w:tc>
      </w:tr>
    </w:tbl>
    <w:p w14:paraId="77B37BD8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outlineLvl w:val="2"/>
        <w:rPr>
          <w:rFonts w:hint="default" w:ascii="Arial" w:hAnsi="Arial" w:cs="Arial"/>
          <w:sz w:val="20"/>
          <w:szCs w:val="20"/>
        </w:rPr>
      </w:pPr>
    </w:p>
    <w:p w14:paraId="0B9D200E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outlineLvl w:val="2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Design Decisions That Support Azure</w:t>
      </w:r>
    </w:p>
    <w:p w14:paraId="1288A8B0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Style w:val="10"/>
          <w:rFonts w:hint="default" w:ascii="Arial" w:hAnsi="Arial" w:cs="Arial"/>
          <w:sz w:val="20"/>
          <w:szCs w:val="20"/>
        </w:rPr>
        <w:t>Stateless API design</w:t>
      </w:r>
      <w:r>
        <w:rPr>
          <w:rFonts w:hint="default" w:ascii="Arial" w:hAnsi="Arial" w:cs="Arial"/>
          <w:sz w:val="20"/>
          <w:szCs w:val="20"/>
        </w:rPr>
        <w:t xml:space="preserve"> — Avoid server-side session storage; use tokens and client-side state. Eases horizontal scaling.</w:t>
      </w:r>
    </w:p>
    <w:p w14:paraId="1417B4CE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Style w:val="10"/>
          <w:rFonts w:hint="default" w:ascii="Arial" w:hAnsi="Arial" w:cs="Arial"/>
          <w:sz w:val="20"/>
          <w:szCs w:val="20"/>
        </w:rPr>
        <w:t>User-scoped data</w:t>
      </w:r>
      <w:r>
        <w:rPr>
          <w:rFonts w:hint="default" w:ascii="Arial" w:hAnsi="Arial" w:cs="Arial"/>
          <w:sz w:val="20"/>
          <w:szCs w:val="20"/>
        </w:rPr>
        <w:t xml:space="preserve"> — All entities (playbooks, tasks, goals, decisions) must have a </w:t>
      </w:r>
      <w:r>
        <w:rPr>
          <w:rStyle w:val="8"/>
          <w:rFonts w:hint="default" w:ascii="Arial" w:hAnsi="Arial" w:cs="Arial"/>
          <w:sz w:val="20"/>
          <w:szCs w:val="20"/>
        </w:rPr>
        <w:t>userId</w:t>
      </w:r>
      <w:r>
        <w:rPr>
          <w:rFonts w:hint="default" w:ascii="Arial" w:hAnsi="Arial" w:cs="Arial"/>
          <w:sz w:val="20"/>
          <w:szCs w:val="20"/>
        </w:rPr>
        <w:t xml:space="preserve"> or </w:t>
      </w:r>
      <w:r>
        <w:rPr>
          <w:rStyle w:val="8"/>
          <w:rFonts w:hint="default" w:ascii="Arial" w:hAnsi="Arial" w:cs="Arial"/>
          <w:sz w:val="20"/>
          <w:szCs w:val="20"/>
        </w:rPr>
        <w:t>tenantId</w:t>
      </w:r>
      <w:r>
        <w:rPr>
          <w:rFonts w:hint="default" w:ascii="Arial" w:hAnsi="Arial" w:cs="Arial"/>
          <w:sz w:val="20"/>
          <w:szCs w:val="20"/>
        </w:rPr>
        <w:t xml:space="preserve"> from the start. Prevents refactoring later.</w:t>
      </w:r>
    </w:p>
    <w:p w14:paraId="37A0BAF6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Style w:val="10"/>
          <w:rFonts w:hint="default" w:ascii="Arial" w:hAnsi="Arial" w:cs="Arial"/>
          <w:sz w:val="20"/>
          <w:szCs w:val="20"/>
        </w:rPr>
        <w:t>Idempotent operations</w:t>
      </w:r>
      <w:r>
        <w:rPr>
          <w:rFonts w:hint="default" w:ascii="Arial" w:hAnsi="Arial" w:cs="Arial"/>
          <w:sz w:val="20"/>
          <w:szCs w:val="20"/>
        </w:rPr>
        <w:t xml:space="preserve"> — Design create/update APIs to be idempotent where possible (e.g., upsert by ID). Helps with retries and eventual consistency.</w:t>
      </w:r>
    </w:p>
    <w:p w14:paraId="29E18DA3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Style w:val="10"/>
          <w:rFonts w:hint="default" w:ascii="Arial" w:hAnsi="Arial" w:cs="Arial"/>
          <w:sz w:val="20"/>
          <w:szCs w:val="20"/>
        </w:rPr>
        <w:t>Async AI calls</w:t>
      </w:r>
      <w:r>
        <w:rPr>
          <w:rFonts w:hint="default" w:ascii="Arial" w:hAnsi="Arial" w:cs="Arial"/>
          <w:sz w:val="20"/>
          <w:szCs w:val="20"/>
        </w:rPr>
        <w:t xml:space="preserve"> — AI Convert, AI Suggest, Decision options can be async. Return a job ID; poll or use WebSockets for result. Enables queue-based processing (Azure Service Bus, Azure Functions) at scale.</w:t>
      </w:r>
    </w:p>
    <w:p w14:paraId="53387596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Style w:val="10"/>
          <w:rFonts w:hint="default" w:ascii="Arial" w:hAnsi="Arial" w:cs="Arial"/>
          <w:sz w:val="20"/>
          <w:szCs w:val="20"/>
        </w:rPr>
        <w:t>Config-driven</w:t>
      </w:r>
      <w:r>
        <w:rPr>
          <w:rFonts w:hint="default" w:ascii="Arial" w:hAnsi="Arial" w:cs="Arial"/>
          <w:sz w:val="20"/>
          <w:szCs w:val="20"/>
        </w:rPr>
        <w:t xml:space="preserve"> — Keep environment-specific config (API URLs, feature flags) in config files, not code. Use Azure App Configuration or Key Vault later.</w:t>
      </w:r>
    </w:p>
    <w:p w14:paraId="4A223F5C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Chars="0"/>
        <w:textAlignment w:val="auto"/>
        <w:rPr>
          <w:rFonts w:hint="default" w:ascii="Arial" w:hAnsi="Arial" w:cs="Arial"/>
          <w:sz w:val="20"/>
          <w:szCs w:val="20"/>
        </w:rPr>
      </w:pPr>
    </w:p>
    <w:p w14:paraId="754E1B5E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outlineLvl w:val="2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Data Model Considerations</w:t>
      </w:r>
    </w:p>
    <w:p w14:paraId="6C9CC51F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Style w:val="10"/>
          <w:rFonts w:hint="default" w:ascii="Arial" w:hAnsi="Arial" w:cs="Arial"/>
          <w:sz w:val="20"/>
          <w:szCs w:val="20"/>
        </w:rPr>
        <w:t>Playbooks</w:t>
      </w:r>
      <w:r>
        <w:rPr>
          <w:rFonts w:hint="default" w:ascii="Arial" w:hAnsi="Arial" w:cs="Arial"/>
          <w:sz w:val="20"/>
          <w:szCs w:val="20"/>
        </w:rPr>
        <w:t xml:space="preserve">: </w:t>
      </w:r>
      <w:r>
        <w:rPr>
          <w:rStyle w:val="8"/>
          <w:rFonts w:hint="default" w:ascii="Arial" w:hAnsi="Arial" w:cs="Arial"/>
          <w:sz w:val="20"/>
          <w:szCs w:val="20"/>
        </w:rPr>
        <w:t>id</w:t>
      </w:r>
      <w:r>
        <w:rPr>
          <w:rFonts w:hint="default" w:ascii="Arial" w:hAnsi="Arial" w:cs="Arial"/>
          <w:sz w:val="20"/>
          <w:szCs w:val="20"/>
        </w:rPr>
        <w:t xml:space="preserve">, </w:t>
      </w:r>
      <w:r>
        <w:rPr>
          <w:rStyle w:val="8"/>
          <w:rFonts w:hint="default" w:ascii="Arial" w:hAnsi="Arial" w:cs="Arial"/>
          <w:sz w:val="20"/>
          <w:szCs w:val="20"/>
        </w:rPr>
        <w:t>userId</w:t>
      </w:r>
      <w:r>
        <w:rPr>
          <w:rFonts w:hint="default" w:ascii="Arial" w:hAnsi="Arial" w:cs="Arial"/>
          <w:sz w:val="20"/>
          <w:szCs w:val="20"/>
        </w:rPr>
        <w:t xml:space="preserve">, </w:t>
      </w:r>
      <w:r>
        <w:rPr>
          <w:rStyle w:val="8"/>
          <w:rFonts w:hint="default" w:ascii="Arial" w:hAnsi="Arial" w:cs="Arial"/>
          <w:sz w:val="20"/>
          <w:szCs w:val="20"/>
        </w:rPr>
        <w:t>title</w:t>
      </w:r>
      <w:r>
        <w:rPr>
          <w:rFonts w:hint="default" w:ascii="Arial" w:hAnsi="Arial" w:cs="Arial"/>
          <w:sz w:val="20"/>
          <w:szCs w:val="20"/>
        </w:rPr>
        <w:t xml:space="preserve">, </w:t>
      </w:r>
      <w:r>
        <w:rPr>
          <w:rStyle w:val="8"/>
          <w:rFonts w:hint="default" w:ascii="Arial" w:hAnsi="Arial" w:cs="Arial"/>
          <w:sz w:val="20"/>
          <w:szCs w:val="20"/>
        </w:rPr>
        <w:t>type</w:t>
      </w:r>
      <w:r>
        <w:rPr>
          <w:rFonts w:hint="default" w:ascii="Arial" w:hAnsi="Arial" w:cs="Arial"/>
          <w:sz w:val="20"/>
          <w:szCs w:val="20"/>
        </w:rPr>
        <w:t xml:space="preserve">, </w:t>
      </w:r>
      <w:r>
        <w:rPr>
          <w:rStyle w:val="8"/>
          <w:rFonts w:hint="default" w:ascii="Arial" w:hAnsi="Arial" w:cs="Arial"/>
          <w:sz w:val="20"/>
          <w:szCs w:val="20"/>
        </w:rPr>
        <w:t>steps[]</w:t>
      </w:r>
      <w:r>
        <w:rPr>
          <w:rFonts w:hint="default" w:ascii="Arial" w:hAnsi="Arial" w:cs="Arial"/>
          <w:sz w:val="20"/>
          <w:szCs w:val="20"/>
        </w:rPr>
        <w:t xml:space="preserve">, </w:t>
      </w:r>
      <w:r>
        <w:rPr>
          <w:rStyle w:val="8"/>
          <w:rFonts w:hint="default" w:ascii="Arial" w:hAnsi="Arial" w:cs="Arial"/>
          <w:sz w:val="20"/>
          <w:szCs w:val="20"/>
        </w:rPr>
        <w:t>lastUsedAt</w:t>
      </w:r>
      <w:r>
        <w:rPr>
          <w:rFonts w:hint="default" w:ascii="Arial" w:hAnsi="Arial" w:cs="Arial"/>
          <w:sz w:val="20"/>
          <w:szCs w:val="20"/>
        </w:rPr>
        <w:t xml:space="preserve">, </w:t>
      </w:r>
      <w:r>
        <w:rPr>
          <w:rStyle w:val="8"/>
          <w:rFonts w:hint="default" w:ascii="Arial" w:hAnsi="Arial" w:cs="Arial"/>
          <w:sz w:val="20"/>
          <w:szCs w:val="20"/>
        </w:rPr>
        <w:t>createdAt</w:t>
      </w:r>
    </w:p>
    <w:p w14:paraId="33202A1D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Style w:val="10"/>
          <w:rFonts w:hint="default" w:ascii="Arial" w:hAnsi="Arial" w:cs="Arial"/>
          <w:sz w:val="20"/>
          <w:szCs w:val="20"/>
        </w:rPr>
        <w:t>Tasks</w:t>
      </w:r>
      <w:r>
        <w:rPr>
          <w:rFonts w:hint="default" w:ascii="Arial" w:hAnsi="Arial" w:cs="Arial"/>
          <w:sz w:val="20"/>
          <w:szCs w:val="20"/>
        </w:rPr>
        <w:t xml:space="preserve">: </w:t>
      </w:r>
      <w:r>
        <w:rPr>
          <w:rStyle w:val="8"/>
          <w:rFonts w:hint="default" w:ascii="Arial" w:hAnsi="Arial" w:cs="Arial"/>
          <w:sz w:val="20"/>
          <w:szCs w:val="20"/>
        </w:rPr>
        <w:t>id</w:t>
      </w:r>
      <w:r>
        <w:rPr>
          <w:rFonts w:hint="default" w:ascii="Arial" w:hAnsi="Arial" w:cs="Arial"/>
          <w:sz w:val="20"/>
          <w:szCs w:val="20"/>
        </w:rPr>
        <w:t xml:space="preserve">, </w:t>
      </w:r>
      <w:r>
        <w:rPr>
          <w:rStyle w:val="8"/>
          <w:rFonts w:hint="default" w:ascii="Arial" w:hAnsi="Arial" w:cs="Arial"/>
          <w:sz w:val="20"/>
          <w:szCs w:val="20"/>
        </w:rPr>
        <w:t>userId</w:t>
      </w:r>
      <w:r>
        <w:rPr>
          <w:rFonts w:hint="default" w:ascii="Arial" w:hAnsi="Arial" w:cs="Arial"/>
          <w:sz w:val="20"/>
          <w:szCs w:val="20"/>
        </w:rPr>
        <w:t xml:space="preserve">, </w:t>
      </w:r>
      <w:r>
        <w:rPr>
          <w:rStyle w:val="8"/>
          <w:rFonts w:hint="default" w:ascii="Arial" w:hAnsi="Arial" w:cs="Arial"/>
          <w:sz w:val="20"/>
          <w:szCs w:val="20"/>
        </w:rPr>
        <w:t>goalId</w:t>
      </w:r>
      <w:r>
        <w:rPr>
          <w:rFonts w:hint="default" w:ascii="Arial" w:hAnsi="Arial" w:cs="Arial"/>
          <w:sz w:val="20"/>
          <w:szCs w:val="20"/>
        </w:rPr>
        <w:t xml:space="preserve">, </w:t>
      </w:r>
      <w:r>
        <w:rPr>
          <w:rStyle w:val="8"/>
          <w:rFonts w:hint="default" w:ascii="Arial" w:hAnsi="Arial" w:cs="Arial"/>
          <w:sz w:val="20"/>
          <w:szCs w:val="20"/>
        </w:rPr>
        <w:t>title</w:t>
      </w:r>
      <w:r>
        <w:rPr>
          <w:rFonts w:hint="default" w:ascii="Arial" w:hAnsi="Arial" w:cs="Arial"/>
          <w:sz w:val="20"/>
          <w:szCs w:val="20"/>
        </w:rPr>
        <w:t xml:space="preserve">, </w:t>
      </w:r>
      <w:r>
        <w:rPr>
          <w:rStyle w:val="8"/>
          <w:rFonts w:hint="default" w:ascii="Arial" w:hAnsi="Arial" w:cs="Arial"/>
          <w:sz w:val="20"/>
          <w:szCs w:val="20"/>
        </w:rPr>
        <w:t>status</w:t>
      </w:r>
      <w:r>
        <w:rPr>
          <w:rFonts w:hint="default" w:ascii="Arial" w:hAnsi="Arial" w:cs="Arial"/>
          <w:sz w:val="20"/>
          <w:szCs w:val="20"/>
        </w:rPr>
        <w:t xml:space="preserve">, </w:t>
      </w:r>
      <w:r>
        <w:rPr>
          <w:rStyle w:val="8"/>
          <w:rFonts w:hint="default" w:ascii="Arial" w:hAnsi="Arial" w:cs="Arial"/>
          <w:sz w:val="20"/>
          <w:szCs w:val="20"/>
        </w:rPr>
        <w:t>type</w:t>
      </w:r>
      <w:r>
        <w:rPr>
          <w:rFonts w:hint="default" w:ascii="Arial" w:hAnsi="Arial" w:cs="Arial"/>
          <w:sz w:val="20"/>
          <w:szCs w:val="20"/>
        </w:rPr>
        <w:t xml:space="preserve">, </w:t>
      </w:r>
      <w:r>
        <w:rPr>
          <w:rStyle w:val="8"/>
          <w:rFonts w:hint="default" w:ascii="Arial" w:hAnsi="Arial" w:cs="Arial"/>
          <w:sz w:val="20"/>
          <w:szCs w:val="20"/>
        </w:rPr>
        <w:t>timebox</w:t>
      </w:r>
      <w:r>
        <w:rPr>
          <w:rFonts w:hint="default" w:ascii="Arial" w:hAnsi="Arial" w:cs="Arial"/>
          <w:sz w:val="20"/>
          <w:szCs w:val="20"/>
        </w:rPr>
        <w:t xml:space="preserve">, </w:t>
      </w:r>
      <w:r>
        <w:rPr>
          <w:rStyle w:val="8"/>
          <w:rFonts w:hint="default" w:ascii="Arial" w:hAnsi="Arial" w:cs="Arial"/>
          <w:sz w:val="20"/>
          <w:szCs w:val="20"/>
        </w:rPr>
        <w:t>createdAt</w:t>
      </w:r>
      <w:r>
        <w:rPr>
          <w:rFonts w:hint="default" w:ascii="Arial" w:hAnsi="Arial" w:cs="Arial"/>
          <w:sz w:val="20"/>
          <w:szCs w:val="20"/>
        </w:rPr>
        <w:t xml:space="preserve">, </w:t>
      </w:r>
      <w:r>
        <w:rPr>
          <w:rStyle w:val="8"/>
          <w:rFonts w:hint="default" w:ascii="Arial" w:hAnsi="Arial" w:cs="Arial"/>
          <w:sz w:val="20"/>
          <w:szCs w:val="20"/>
        </w:rPr>
        <w:t>completedAt</w:t>
      </w:r>
    </w:p>
    <w:p w14:paraId="70E951A2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Style w:val="10"/>
          <w:rFonts w:hint="default" w:ascii="Arial" w:hAnsi="Arial" w:cs="Arial"/>
          <w:sz w:val="20"/>
          <w:szCs w:val="20"/>
        </w:rPr>
        <w:t>Goals</w:t>
      </w:r>
      <w:r>
        <w:rPr>
          <w:rFonts w:hint="default" w:ascii="Arial" w:hAnsi="Arial" w:cs="Arial"/>
          <w:sz w:val="20"/>
          <w:szCs w:val="20"/>
        </w:rPr>
        <w:t xml:space="preserve">: </w:t>
      </w:r>
      <w:r>
        <w:rPr>
          <w:rStyle w:val="8"/>
          <w:rFonts w:hint="default" w:ascii="Arial" w:hAnsi="Arial" w:cs="Arial"/>
          <w:sz w:val="20"/>
          <w:szCs w:val="20"/>
        </w:rPr>
        <w:t>id</w:t>
      </w:r>
      <w:r>
        <w:rPr>
          <w:rFonts w:hint="default" w:ascii="Arial" w:hAnsi="Arial" w:cs="Arial"/>
          <w:sz w:val="20"/>
          <w:szCs w:val="20"/>
        </w:rPr>
        <w:t xml:space="preserve">, </w:t>
      </w:r>
      <w:r>
        <w:rPr>
          <w:rStyle w:val="8"/>
          <w:rFonts w:hint="default" w:ascii="Arial" w:hAnsi="Arial" w:cs="Arial"/>
          <w:sz w:val="20"/>
          <w:szCs w:val="20"/>
        </w:rPr>
        <w:t>userId</w:t>
      </w:r>
      <w:r>
        <w:rPr>
          <w:rFonts w:hint="default" w:ascii="Arial" w:hAnsi="Arial" w:cs="Arial"/>
          <w:sz w:val="20"/>
          <w:szCs w:val="20"/>
        </w:rPr>
        <w:t xml:space="preserve">, </w:t>
      </w:r>
      <w:r>
        <w:rPr>
          <w:rStyle w:val="8"/>
          <w:rFonts w:hint="default" w:ascii="Arial" w:hAnsi="Arial" w:cs="Arial"/>
          <w:sz w:val="20"/>
          <w:szCs w:val="20"/>
        </w:rPr>
        <w:t>title</w:t>
      </w:r>
      <w:r>
        <w:rPr>
          <w:rFonts w:hint="default" w:ascii="Arial" w:hAnsi="Arial" w:cs="Arial"/>
          <w:sz w:val="20"/>
          <w:szCs w:val="20"/>
        </w:rPr>
        <w:t xml:space="preserve">, </w:t>
      </w:r>
      <w:r>
        <w:rPr>
          <w:rStyle w:val="8"/>
          <w:rFonts w:hint="default" w:ascii="Arial" w:hAnsi="Arial" w:cs="Arial"/>
          <w:sz w:val="20"/>
          <w:szCs w:val="20"/>
        </w:rPr>
        <w:t>createdAt</w:t>
      </w:r>
    </w:p>
    <w:p w14:paraId="7E9B3BE0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Style w:val="10"/>
          <w:rFonts w:hint="default" w:ascii="Arial" w:hAnsi="Arial" w:cs="Arial"/>
          <w:sz w:val="20"/>
          <w:szCs w:val="20"/>
        </w:rPr>
        <w:t>Decisions</w:t>
      </w:r>
      <w:r>
        <w:rPr>
          <w:rFonts w:hint="default" w:ascii="Arial" w:hAnsi="Arial" w:cs="Arial"/>
          <w:sz w:val="20"/>
          <w:szCs w:val="20"/>
        </w:rPr>
        <w:t xml:space="preserve">: </w:t>
      </w:r>
      <w:r>
        <w:rPr>
          <w:rStyle w:val="8"/>
          <w:rFonts w:hint="default" w:ascii="Arial" w:hAnsi="Arial" w:cs="Arial"/>
          <w:sz w:val="20"/>
          <w:szCs w:val="20"/>
        </w:rPr>
        <w:t>id</w:t>
      </w:r>
      <w:r>
        <w:rPr>
          <w:rFonts w:hint="default" w:ascii="Arial" w:hAnsi="Arial" w:cs="Arial"/>
          <w:sz w:val="20"/>
          <w:szCs w:val="20"/>
        </w:rPr>
        <w:t xml:space="preserve">, </w:t>
      </w:r>
      <w:r>
        <w:rPr>
          <w:rStyle w:val="8"/>
          <w:rFonts w:hint="default" w:ascii="Arial" w:hAnsi="Arial" w:cs="Arial"/>
          <w:sz w:val="20"/>
          <w:szCs w:val="20"/>
        </w:rPr>
        <w:t>userId</w:t>
      </w:r>
      <w:r>
        <w:rPr>
          <w:rFonts w:hint="default" w:ascii="Arial" w:hAnsi="Arial" w:cs="Arial"/>
          <w:sz w:val="20"/>
          <w:szCs w:val="20"/>
        </w:rPr>
        <w:t xml:space="preserve">, </w:t>
      </w:r>
      <w:r>
        <w:rPr>
          <w:rStyle w:val="8"/>
          <w:rFonts w:hint="default" w:ascii="Arial" w:hAnsi="Arial" w:cs="Arial"/>
          <w:sz w:val="20"/>
          <w:szCs w:val="20"/>
        </w:rPr>
        <w:t>taskId</w:t>
      </w:r>
      <w:r>
        <w:rPr>
          <w:rFonts w:hint="default" w:ascii="Arial" w:hAnsi="Arial" w:cs="Arial"/>
          <w:sz w:val="20"/>
          <w:szCs w:val="20"/>
        </w:rPr>
        <w:t xml:space="preserve">, </w:t>
      </w:r>
      <w:r>
        <w:rPr>
          <w:rStyle w:val="8"/>
          <w:rFonts w:hint="default" w:ascii="Arial" w:hAnsi="Arial" w:cs="Arial"/>
          <w:sz w:val="20"/>
          <w:szCs w:val="20"/>
        </w:rPr>
        <w:t>question</w:t>
      </w:r>
      <w:r>
        <w:rPr>
          <w:rFonts w:hint="default" w:ascii="Arial" w:hAnsi="Arial" w:cs="Arial"/>
          <w:sz w:val="20"/>
          <w:szCs w:val="20"/>
        </w:rPr>
        <w:t xml:space="preserve">, </w:t>
      </w:r>
      <w:r>
        <w:rPr>
          <w:rStyle w:val="8"/>
          <w:rFonts w:hint="default" w:ascii="Arial" w:hAnsi="Arial" w:cs="Arial"/>
          <w:sz w:val="20"/>
          <w:szCs w:val="20"/>
        </w:rPr>
        <w:t>chosenOption</w:t>
      </w:r>
      <w:r>
        <w:rPr>
          <w:rFonts w:hint="default" w:ascii="Arial" w:hAnsi="Arial" w:cs="Arial"/>
          <w:sz w:val="20"/>
          <w:szCs w:val="20"/>
        </w:rPr>
        <w:t xml:space="preserve">, </w:t>
      </w:r>
      <w:r>
        <w:rPr>
          <w:rStyle w:val="8"/>
          <w:rFonts w:hint="default" w:ascii="Arial" w:hAnsi="Arial" w:cs="Arial"/>
          <w:sz w:val="20"/>
          <w:szCs w:val="20"/>
        </w:rPr>
        <w:t>createdAt</w:t>
      </w:r>
    </w:p>
    <w:p w14:paraId="00905B77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Style w:val="10"/>
          <w:rFonts w:hint="default" w:ascii="Arial" w:hAnsi="Arial" w:cs="Arial"/>
          <w:sz w:val="20"/>
          <w:szCs w:val="20"/>
        </w:rPr>
        <w:t>Brain Dump items</w:t>
      </w:r>
      <w:r>
        <w:rPr>
          <w:rFonts w:hint="default" w:ascii="Arial" w:hAnsi="Arial" w:cs="Arial"/>
          <w:sz w:val="20"/>
          <w:szCs w:val="20"/>
        </w:rPr>
        <w:t>: Consider storing raw dump + converted output for AI training/improvement (with user consent)</w:t>
      </w:r>
    </w:p>
    <w:p w14:paraId="729D5B11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Chars="0"/>
        <w:textAlignment w:val="auto"/>
        <w:rPr>
          <w:rFonts w:hint="default" w:ascii="Arial" w:hAnsi="Arial" w:cs="Arial"/>
          <w:sz w:val="20"/>
          <w:szCs w:val="20"/>
        </w:rPr>
      </w:pPr>
    </w:p>
    <w:p w14:paraId="6306E632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8EE3F8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outlineLvl w:val="1"/>
        <w:rPr>
          <w:rFonts w:hint="default" w:ascii="Arial" w:hAnsi="Arial" w:cs="Arial"/>
          <w:b/>
          <w:bCs/>
          <w:color w:val="2E75B6" w:themeColor="accent1" w:themeShade="BF"/>
          <w:sz w:val="20"/>
          <w:szCs w:val="20"/>
          <w:u w:val="single"/>
        </w:rPr>
      </w:pPr>
      <w:r>
        <w:rPr>
          <w:rFonts w:hint="default" w:ascii="Arial" w:hAnsi="Arial" w:cs="Arial"/>
          <w:b/>
          <w:bCs/>
          <w:color w:val="2E75B6" w:themeColor="accent1" w:themeShade="BF"/>
          <w:sz w:val="20"/>
          <w:szCs w:val="20"/>
          <w:u w:val="single"/>
        </w:rPr>
        <w:t>Scalability (Many Users)</w:t>
      </w:r>
    </w:p>
    <w:p w14:paraId="4408EBA2">
      <w:pPr>
        <w:numPr>
          <w:numId w:val="0"/>
        </w:numPr>
        <w:rPr>
          <w:rFonts w:hint="default"/>
        </w:rPr>
      </w:pPr>
    </w:p>
    <w:p w14:paraId="04422C00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outlineLvl w:val="2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Design Choices That Scale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5"/>
        <w:gridCol w:w="8725"/>
      </w:tblGrid>
      <w:tr w14:paraId="7F0141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027C9E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jc w:val="center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</w:rPr>
              <w:t>Concern</w:t>
            </w:r>
          </w:p>
        </w:tc>
        <w:tc>
          <w:tcPr>
            <w:tcW w:w="0" w:type="auto"/>
            <w:shd w:val="clear"/>
            <w:vAlign w:val="center"/>
          </w:tcPr>
          <w:p w14:paraId="0124B002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jc w:val="center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</w:rPr>
              <w:t>Recommendation</w:t>
            </w:r>
          </w:p>
        </w:tc>
      </w:tr>
      <w:tr w14:paraId="721858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0AF7EF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cs="Arial"/>
                <w:sz w:val="20"/>
                <w:szCs w:val="20"/>
              </w:rPr>
              <w:t>Per-user isolation</w:t>
            </w:r>
          </w:p>
        </w:tc>
        <w:tc>
          <w:tcPr>
            <w:tcW w:w="0" w:type="auto"/>
            <w:shd w:val="clear"/>
            <w:vAlign w:val="center"/>
          </w:tcPr>
          <w:p w14:paraId="66FD246D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 xml:space="preserve">Every query filters by </w:t>
            </w:r>
            <w:r>
              <w:rPr>
                <w:rStyle w:val="8"/>
                <w:rFonts w:hint="default" w:ascii="Arial" w:hAnsi="Arial" w:cs="Arial"/>
                <w:sz w:val="20"/>
                <w:szCs w:val="20"/>
              </w:rPr>
              <w:t>userId</w:t>
            </w:r>
            <w:r>
              <w:rPr>
                <w:rFonts w:hint="default" w:ascii="Arial" w:hAnsi="Arial" w:cs="Arial"/>
                <w:sz w:val="20"/>
                <w:szCs w:val="20"/>
              </w:rPr>
              <w:t>. Use row-level security or application-level filtering.</w:t>
            </w:r>
          </w:p>
        </w:tc>
      </w:tr>
      <w:tr w14:paraId="4104C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B279FA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cs="Arial"/>
                <w:sz w:val="20"/>
                <w:szCs w:val="20"/>
              </w:rPr>
              <w:t>AI rate limiting</w:t>
            </w:r>
          </w:p>
        </w:tc>
        <w:tc>
          <w:tcPr>
            <w:tcW w:w="0" w:type="auto"/>
            <w:shd w:val="clear"/>
            <w:vAlign w:val="center"/>
          </w:tcPr>
          <w:p w14:paraId="7DF75F28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Plan for per-user or per-tenant rate limits on AI calls. Azure OpenAI has quotas; design fallbacks (e.g., cached suggestions, queue for later).</w:t>
            </w:r>
          </w:p>
        </w:tc>
      </w:tr>
      <w:tr w14:paraId="4A6C5A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2087E4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cs="Arial"/>
                <w:sz w:val="20"/>
                <w:szCs w:val="20"/>
              </w:rPr>
              <w:t>Pagination</w:t>
            </w:r>
          </w:p>
        </w:tc>
        <w:tc>
          <w:tcPr>
            <w:tcW w:w="0" w:type="auto"/>
            <w:shd w:val="clear"/>
            <w:vAlign w:val="center"/>
          </w:tcPr>
          <w:p w14:paraId="6C3D66BB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Weekly task list: paginate or virtualize when &gt; 50–100 items. Playbooks: typically &lt; 20 per user; full load is fine.</w:t>
            </w:r>
          </w:p>
        </w:tc>
      </w:tr>
      <w:tr w14:paraId="2E96DC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4EA1D2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cs="Arial"/>
                <w:sz w:val="20"/>
                <w:szCs w:val="20"/>
              </w:rPr>
              <w:t>Caching</w:t>
            </w:r>
          </w:p>
        </w:tc>
        <w:tc>
          <w:tcPr>
            <w:tcW w:w="0" w:type="auto"/>
            <w:shd w:val="clear"/>
            <w:vAlign w:val="center"/>
          </w:tcPr>
          <w:p w14:paraId="264CF873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Cache playbook list, today’s top 3, and focus sentence. Invalidate on update. Use Redis (Azure Cache for Redis) post-migration.</w:t>
            </w:r>
          </w:p>
        </w:tc>
      </w:tr>
      <w:tr w14:paraId="76D63C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6F0E8A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cs="Arial"/>
                <w:sz w:val="20"/>
                <w:szCs w:val="20"/>
              </w:rPr>
              <w:t>Background jobs</w:t>
            </w:r>
          </w:p>
        </w:tc>
        <w:tc>
          <w:tcPr>
            <w:tcW w:w="0" w:type="auto"/>
            <w:shd w:val="clear"/>
            <w:vAlign w:val="center"/>
          </w:tcPr>
          <w:p w14:paraId="51D23B74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AI suggestions, playbook pattern detection, and "AI Suggest Top 3" can run as background jobs. Don’t block the main request.</w:t>
            </w:r>
          </w:p>
        </w:tc>
      </w:tr>
      <w:tr w14:paraId="75269B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7A2FA0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cs="Arial"/>
                <w:sz w:val="20"/>
                <w:szCs w:val="20"/>
              </w:rPr>
              <w:t>Logging and telemetry</w:t>
            </w:r>
          </w:p>
        </w:tc>
        <w:tc>
          <w:tcPr>
            <w:tcW w:w="0" w:type="auto"/>
            <w:shd w:val="clear"/>
            <w:vAlign w:val="center"/>
          </w:tcPr>
          <w:p w14:paraId="338DC8E2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 xml:space="preserve">Log key actions (task started, decision made, playbook used) with </w:t>
            </w:r>
            <w:r>
              <w:rPr>
                <w:rStyle w:val="8"/>
                <w:rFonts w:hint="default" w:ascii="Arial" w:hAnsi="Arial" w:cs="Arial"/>
                <w:sz w:val="20"/>
                <w:szCs w:val="20"/>
              </w:rPr>
              <w:t>userId</w:t>
            </w:r>
            <w:r>
              <w:rPr>
                <w:rFonts w:hint="default" w:ascii="Arial" w:hAnsi="Arial" w:cs="Arial"/>
                <w:sz w:val="20"/>
                <w:szCs w:val="20"/>
              </w:rPr>
              <w:t xml:space="preserve"> and </w:t>
            </w:r>
            <w:r>
              <w:rPr>
                <w:rStyle w:val="8"/>
                <w:rFonts w:hint="default" w:ascii="Arial" w:hAnsi="Arial" w:cs="Arial"/>
                <w:sz w:val="20"/>
                <w:szCs w:val="20"/>
              </w:rPr>
              <w:t>timestamp</w:t>
            </w:r>
            <w:r>
              <w:rPr>
                <w:rFonts w:hint="default" w:ascii="Arial" w:hAnsi="Arial" w:cs="Arial"/>
                <w:sz w:val="20"/>
                <w:szCs w:val="20"/>
              </w:rPr>
              <w:t>. Use structured logging (JSON). Enables Azure Monitor / Application Insights.</w:t>
            </w:r>
          </w:p>
        </w:tc>
      </w:tr>
    </w:tbl>
    <w:p w14:paraId="56969CCD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outlineLvl w:val="2"/>
        <w:rPr>
          <w:rFonts w:hint="default" w:ascii="Arial" w:hAnsi="Arial" w:cs="Arial"/>
          <w:sz w:val="20"/>
          <w:szCs w:val="20"/>
        </w:rPr>
      </w:pPr>
    </w:p>
    <w:p w14:paraId="449845F1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outlineLvl w:val="2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Scalability to Defer (Post-V1)</w:t>
      </w:r>
    </w:p>
    <w:p w14:paraId="673AA4F2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Multi-tenancy (organizations/teams)</w:t>
      </w:r>
    </w:p>
    <w:p w14:paraId="797546A5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Real-time collaboration</w:t>
      </w:r>
    </w:p>
    <w:p w14:paraId="6CA2DB36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Offline-first sync (e.g., PWA with sync)</w:t>
      </w:r>
    </w:p>
    <w:p w14:paraId="7D761B06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63BD2E"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outlineLvl w:val="1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6. V1 Scope Summary</w:t>
      </w:r>
    </w:p>
    <w:p w14:paraId="464375C7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outlineLvl w:val="2"/>
        <w:rPr>
          <w:rFonts w:hint="default" w:ascii="Arial" w:hAnsi="Arial" w:cs="Arial"/>
          <w:sz w:val="20"/>
          <w:szCs w:val="20"/>
        </w:rPr>
      </w:pPr>
    </w:p>
    <w:p w14:paraId="14533281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outlineLvl w:val="2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In Scope for V1</w:t>
      </w:r>
    </w:p>
    <w:p w14:paraId="61D8A3ED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All 5 screens as designed, with the additions above</w:t>
      </w:r>
    </w:p>
    <w:p w14:paraId="06E84E3A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Single-user or simple multi-user (e.g., email-based accounts)</w:t>
      </w:r>
    </w:p>
    <w:p w14:paraId="323E111F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Local or cloud database (SQLite/PostgreSQL or Azure SQL)</w:t>
      </w:r>
    </w:p>
    <w:p w14:paraId="3F81DBD3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AI via OpenAI or Azure OpenAI</w:t>
      </w:r>
    </w:p>
    <w:p w14:paraId="67D15FB9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Settings: Reduce motion, High contrast, Font size</w:t>
      </w:r>
    </w:p>
    <w:p w14:paraId="01418688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Keyboard shortcuts for primary actions</w:t>
      </w:r>
    </w:p>
    <w:p w14:paraId="5B59418B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Loading states and undo for critical actions</w:t>
      </w:r>
    </w:p>
    <w:p w14:paraId="1103DAF6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Chars="0"/>
        <w:textAlignment w:val="auto"/>
        <w:rPr>
          <w:rFonts w:hint="default" w:ascii="Arial" w:hAnsi="Arial" w:cs="Arial"/>
          <w:sz w:val="20"/>
          <w:szCs w:val="20"/>
        </w:rPr>
      </w:pPr>
    </w:p>
    <w:p w14:paraId="6A1310EF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outlineLvl w:val="2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Out of Scope for V1</w:t>
      </w:r>
    </w:p>
    <w:p w14:paraId="2A5BE7C7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Customizable views (Kanban, calendar)</w:t>
      </w:r>
    </w:p>
    <w:p w14:paraId="12AC75B8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Auditory cues</w:t>
      </w:r>
    </w:p>
    <w:p w14:paraId="19788484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Multi-tenant / organization features</w:t>
      </w:r>
    </w:p>
    <w:p w14:paraId="0F2873E3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Offline sync</w:t>
      </w:r>
    </w:p>
    <w:p w14:paraId="68CDA5E2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Advanced analytics or reporting</w:t>
      </w:r>
    </w:p>
    <w:p w14:paraId="5067A4FE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Chars="0"/>
        <w:textAlignment w:val="auto"/>
        <w:rPr>
          <w:rFonts w:hint="default" w:ascii="Arial" w:hAnsi="Arial" w:cs="Arial"/>
          <w:sz w:val="20"/>
          <w:szCs w:val="20"/>
        </w:rPr>
      </w:pPr>
    </w:p>
    <w:p w14:paraId="694437C6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997C0D"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outlineLvl w:val="1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7. Recommended Next Steps</w:t>
      </w:r>
    </w:p>
    <w:p w14:paraId="336D186F">
      <w:pPr>
        <w:pStyle w:val="9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Style w:val="10"/>
          <w:rFonts w:hint="default" w:ascii="Arial" w:hAnsi="Arial" w:cs="Arial"/>
          <w:sz w:val="20"/>
          <w:szCs w:val="20"/>
        </w:rPr>
        <w:t>Update mockups</w:t>
      </w:r>
      <w:r>
        <w:rPr>
          <w:rFonts w:hint="default" w:ascii="Arial" w:hAnsi="Arial" w:cs="Arial"/>
          <w:sz w:val="20"/>
          <w:szCs w:val="20"/>
        </w:rPr>
        <w:t xml:space="preserve"> — Incorporate: horizon switcher, empty states, loading states, Focus mode toggle, settings panel (Reduce motion, High contrast, Font size).</w:t>
      </w:r>
    </w:p>
    <w:p w14:paraId="34CAF34B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 w:ascii="Arial" w:hAnsi="Arial" w:cs="Arial"/>
          <w:sz w:val="20"/>
          <w:szCs w:val="20"/>
        </w:rPr>
      </w:pPr>
    </w:p>
    <w:p w14:paraId="35956B8B">
      <w:pPr>
        <w:pStyle w:val="9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Style w:val="10"/>
          <w:rFonts w:hint="default" w:ascii="Arial" w:hAnsi="Arial" w:cs="Arial"/>
          <w:sz w:val="20"/>
          <w:szCs w:val="20"/>
        </w:rPr>
        <w:t>Define data model</w:t>
      </w:r>
      <w:r>
        <w:rPr>
          <w:rFonts w:hint="default" w:ascii="Arial" w:hAnsi="Arial" w:cs="Arial"/>
          <w:sz w:val="20"/>
          <w:szCs w:val="20"/>
        </w:rPr>
        <w:t xml:space="preserve"> — Create schema with </w:t>
      </w:r>
      <w:r>
        <w:rPr>
          <w:rStyle w:val="8"/>
          <w:rFonts w:hint="default" w:ascii="Arial" w:hAnsi="Arial" w:cs="Arial"/>
          <w:sz w:val="20"/>
          <w:szCs w:val="20"/>
        </w:rPr>
        <w:t>userId</w:t>
      </w:r>
      <w:r>
        <w:rPr>
          <w:rFonts w:hint="default" w:ascii="Arial" w:hAnsi="Arial" w:cs="Arial"/>
          <w:sz w:val="20"/>
          <w:szCs w:val="20"/>
        </w:rPr>
        <w:t xml:space="preserve"> on all tables; document API contracts.</w:t>
      </w:r>
    </w:p>
    <w:p w14:paraId="3DADBC64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 w:ascii="Arial" w:hAnsi="Arial" w:cs="Arial"/>
          <w:sz w:val="20"/>
          <w:szCs w:val="20"/>
        </w:rPr>
      </w:pPr>
      <w:bookmarkStart w:id="0" w:name="_GoBack"/>
      <w:bookmarkEnd w:id="0"/>
    </w:p>
    <w:p w14:paraId="49274B19">
      <w:pPr>
        <w:pStyle w:val="9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Style w:val="10"/>
          <w:rFonts w:hint="default" w:ascii="Arial" w:hAnsi="Arial" w:cs="Arial"/>
          <w:sz w:val="20"/>
          <w:szCs w:val="20"/>
        </w:rPr>
        <w:t>Choose stack</w:t>
      </w:r>
      <w:r>
        <w:rPr>
          <w:rFonts w:hint="default" w:ascii="Arial" w:hAnsi="Arial" w:cs="Arial"/>
          <w:sz w:val="20"/>
          <w:szCs w:val="20"/>
        </w:rPr>
        <w:t xml:space="preserve"> — Align on: frontend framework, backend (e.g., .NET 8, Node), database, AI provider (OpenAI vs Azure OpenAI).</w:t>
      </w:r>
    </w:p>
    <w:p w14:paraId="310A9837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 w:ascii="Arial" w:hAnsi="Arial" w:cs="Arial"/>
          <w:sz w:val="20"/>
          <w:szCs w:val="20"/>
        </w:rPr>
      </w:pPr>
    </w:p>
    <w:p w14:paraId="7A97DFF4">
      <w:pPr>
        <w:pStyle w:val="9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Style w:val="10"/>
          <w:rFonts w:hint="default" w:ascii="Arial" w:hAnsi="Arial" w:cs="Arial"/>
          <w:sz w:val="20"/>
          <w:szCs w:val="20"/>
        </w:rPr>
        <w:t>Build order</w:t>
      </w:r>
      <w:r>
        <w:rPr>
          <w:rFonts w:hint="default" w:ascii="Arial" w:hAnsi="Arial" w:cs="Arial"/>
          <w:sz w:val="20"/>
          <w:szCs w:val="20"/>
        </w:rPr>
        <w:t xml:space="preserve"> — Suggested sequence: (1) Auth + data layer, (2) Weekly Planning + Brain Dump + AI Convert, (3) Daily Rule of 3 + AI Suggest, (4) Guided Mode + Decision Helper, (5) Monthly Playbooks.</w:t>
      </w:r>
    </w:p>
    <w:p w14:paraId="30510503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 w:ascii="Arial" w:hAnsi="Arial" w:cs="Arial"/>
          <w:sz w:val="20"/>
          <w:szCs w:val="20"/>
        </w:rPr>
      </w:pPr>
    </w:p>
    <w:p w14:paraId="0044461C">
      <w:pPr>
        <w:pStyle w:val="9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right="0" w:rightChars="0" w:hanging="420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Style w:val="10"/>
          <w:rFonts w:hint="default" w:ascii="Arial" w:hAnsi="Arial" w:cs="Arial"/>
          <w:sz w:val="20"/>
          <w:szCs w:val="20"/>
        </w:rPr>
        <w:t>Accessibility audit</w:t>
      </w:r>
      <w:r>
        <w:rPr>
          <w:rFonts w:hint="default" w:ascii="Arial" w:hAnsi="Arial" w:cs="Arial"/>
          <w:sz w:val="20"/>
          <w:szCs w:val="20"/>
        </w:rPr>
        <w:t xml:space="preserve"> — Before release, run axe or similar on key flows; ensure WCAG AA compliance.</w:t>
      </w:r>
    </w:p>
    <w:p w14:paraId="1401A53F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Chars="0"/>
        <w:textAlignment w:val="auto"/>
        <w:rPr>
          <w:rFonts w:hint="default" w:ascii="Arial" w:hAnsi="Arial" w:cs="Arial"/>
          <w:sz w:val="20"/>
          <w:szCs w:val="20"/>
        </w:rPr>
      </w:pPr>
    </w:p>
    <w:p w14:paraId="19C2C0EF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Chars="0"/>
        <w:textAlignment w:val="auto"/>
        <w:rPr>
          <w:rFonts w:hint="default" w:ascii="Arial" w:hAnsi="Arial" w:cs="Arial"/>
          <w:sz w:val="20"/>
          <w:szCs w:val="20"/>
        </w:rPr>
      </w:pPr>
    </w:p>
    <w:p w14:paraId="25C4BA6F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5A1EF4"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outlineLvl w:val="1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Appendix: Quick Reference — Design Principles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65"/>
        <w:gridCol w:w="5356"/>
      </w:tblGrid>
      <w:tr w14:paraId="420E63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7894FA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jc w:val="center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</w:rPr>
              <w:t>Principle</w:t>
            </w:r>
          </w:p>
        </w:tc>
        <w:tc>
          <w:tcPr>
            <w:tcW w:w="0" w:type="auto"/>
            <w:shd w:val="clear"/>
            <w:vAlign w:val="center"/>
          </w:tcPr>
          <w:p w14:paraId="1CC22C64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jc w:val="center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</w:rPr>
              <w:t>Application</w:t>
            </w:r>
          </w:p>
        </w:tc>
      </w:tr>
      <w:tr w14:paraId="05A856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30F32C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cs="Arial"/>
                <w:sz w:val="20"/>
                <w:szCs w:val="20"/>
              </w:rPr>
              <w:t>Reduce visible complexity</w:t>
            </w:r>
          </w:p>
        </w:tc>
        <w:tc>
          <w:tcPr>
            <w:tcW w:w="0" w:type="auto"/>
            <w:shd w:val="clear"/>
            <w:vAlign w:val="center"/>
          </w:tcPr>
          <w:p w14:paraId="0F1B1CAF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Rule of 3, Focus mode, limited playbook cards per view</w:t>
            </w:r>
          </w:p>
        </w:tc>
      </w:tr>
      <w:tr w14:paraId="1646F8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F3EFC8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cs="Arial"/>
                <w:sz w:val="20"/>
                <w:szCs w:val="20"/>
              </w:rPr>
              <w:t>Explicit over implicit</w:t>
            </w:r>
          </w:p>
        </w:tc>
        <w:tc>
          <w:tcPr>
            <w:tcW w:w="0" w:type="auto"/>
            <w:shd w:val="clear"/>
            <w:vAlign w:val="center"/>
          </w:tcPr>
          <w:p w14:paraId="25491EFC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Clear labels, tooltips, helper explanations</w:t>
            </w:r>
          </w:p>
        </w:tc>
      </w:tr>
      <w:tr w14:paraId="3BED37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27A199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cs="Arial"/>
                <w:sz w:val="20"/>
                <w:szCs w:val="20"/>
              </w:rPr>
              <w:t>Predictable structure</w:t>
            </w:r>
          </w:p>
        </w:tc>
        <w:tc>
          <w:tcPr>
            <w:tcW w:w="0" w:type="auto"/>
            <w:shd w:val="clear"/>
            <w:vAlign w:val="center"/>
          </w:tcPr>
          <w:p w14:paraId="743300A0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Consistent layout, same button placement, horizon switcher</w:t>
            </w:r>
          </w:p>
        </w:tc>
      </w:tr>
      <w:tr w14:paraId="2895D6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A488AB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cs="Arial"/>
                <w:sz w:val="20"/>
                <w:szCs w:val="20"/>
              </w:rPr>
              <w:t>Low-friction capture</w:t>
            </w:r>
          </w:p>
        </w:tc>
        <w:tc>
          <w:tcPr>
            <w:tcW w:w="0" w:type="auto"/>
            <w:shd w:val="clear"/>
            <w:vAlign w:val="center"/>
          </w:tcPr>
          <w:p w14:paraId="50E3B11A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Brain Dump, quick add, AI Convert as default</w:t>
            </w:r>
          </w:p>
        </w:tc>
      </w:tr>
      <w:tr w14:paraId="4CE535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85C11A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cs="Arial"/>
                <w:sz w:val="20"/>
                <w:szCs w:val="20"/>
              </w:rPr>
              <w:t>Decision support, not replacement</w:t>
            </w:r>
          </w:p>
        </w:tc>
        <w:tc>
          <w:tcPr>
            <w:tcW w:w="0" w:type="auto"/>
            <w:shd w:val="clear"/>
            <w:vAlign w:val="center"/>
          </w:tcPr>
          <w:p w14:paraId="2963CFA3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3 options, user chooses; AI suggests, doesn’t mandate</w:t>
            </w:r>
          </w:p>
        </w:tc>
      </w:tr>
      <w:tr w14:paraId="35CC66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F66FE6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cs="Arial"/>
                <w:sz w:val="20"/>
                <w:szCs w:val="20"/>
              </w:rPr>
              <w:t>Azure-ready from day one</w:t>
            </w:r>
          </w:p>
        </w:tc>
        <w:tc>
          <w:tcPr>
            <w:tcW w:w="0" w:type="auto"/>
            <w:shd w:val="clear"/>
            <w:vAlign w:val="center"/>
          </w:tcPr>
          <w:p w14:paraId="22564812">
            <w:pPr>
              <w:pStyle w:val="9"/>
              <w:keepNext w:val="0"/>
              <w:keepLines w:val="0"/>
              <w:pageBreakBefore w:val="0"/>
              <w:widowControl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Chars="0" w:right="0" w:rightChars="0"/>
              <w:textAlignment w:val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User-scoped data, stateless API, config-driven</w:t>
            </w:r>
          </w:p>
        </w:tc>
      </w:tr>
    </w:tbl>
    <w:p w14:paraId="51CCAA03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32E3F9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Style w:val="7"/>
          <w:rFonts w:hint="default" w:ascii="Arial" w:hAnsi="Arial" w:cs="Arial"/>
          <w:sz w:val="20"/>
          <w:szCs w:val="20"/>
        </w:rPr>
        <w:t>Document version: 1.0 | Date: March 7, 2025</w:t>
      </w:r>
    </w:p>
    <w:p w14:paraId="26BAA637">
      <w:pPr>
        <w:rPr>
          <w:sz w:val="20"/>
          <w:szCs w:val="20"/>
        </w:rPr>
      </w:pPr>
    </w:p>
    <w:sectPr>
      <w:pgSz w:w="11906" w:h="16838"/>
      <w:pgMar w:top="1440" w:right="706" w:bottom="1440" w:left="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F9C3BF"/>
    <w:multiLevelType w:val="singleLevel"/>
    <w:tmpl w:val="A1F9C3BF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DC7141BC"/>
    <w:multiLevelType w:val="singleLevel"/>
    <w:tmpl w:val="DC7141B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221B423C"/>
    <w:multiLevelType w:val="singleLevel"/>
    <w:tmpl w:val="221B423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6C701505"/>
    <w:multiLevelType w:val="singleLevel"/>
    <w:tmpl w:val="6C70150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C5765F"/>
    <w:rsid w:val="6FC57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2026-03-07T22:57:00Z</dcterms:created>
  <dc:creator>matth</dc:creator>
  <cp:lastModifiedBy>matth</cp:lastModifiedBy>
  <dcterms:modified xsi:type="dcterms:W3CDTF">2026-03-07T23:04:40Z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038DF560F9CF45B7837C172B0DEFF22B_11</vt:lpwstr>
  </property>
</Properties>
</file>