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0"/>
        </w:rPr>
        <w:t>INFORME ESTRATÉGICO DE EFECTIVIDAD DE AUTOMATIZACIÓN</w:t>
      </w:r>
    </w:p>
    <w:p>
      <w:pPr>
        <w:jc w:val="center"/>
      </w:pPr>
      <w:r>
        <w:rPr>
          <w:rFonts w:ascii="Calibri" w:hAnsi="Calibri"/>
          <w:i/>
          <w:color w:val="475569"/>
          <w:sz w:val="24"/>
        </w:rPr>
        <w:t>Diagnóstico Operativo Profundo de Migración de Riesgo (Bajo ➔ Medio/Alto) y Análisis de Variaciones Mes a Mes</w:t>
      </w:r>
    </w:p>
    <w:p>
      <w:pPr>
        <w:jc w:val="center"/>
      </w:pPr>
      <w:r>
        <w:rPr>
          <w:rFonts w:ascii="Calibri" w:hAnsi="Calibri"/>
          <w:color w:val="64748B"/>
          <w:sz w:val="20"/>
        </w:rPr>
        <w:t>Fecha de Generación: 12 de Agosto de 2026 | Período Auditado: Julio 2026 vs Junio 2026</w:t>
      </w:r>
    </w:p>
    <w:p/>
    <w:p>
      <w:pPr>
        <w:pStyle w:val="Heading1"/>
      </w:pPr>
      <w:r>
        <w:rPr>
          <w:color w:val="0F172A"/>
        </w:rPr>
        <w:t>1. Resumen Ejecutivo y Diagnóstico de Migración de Riesgo</w:t>
      </w:r>
    </w:p>
    <w:p>
      <w:r>
        <w:rPr>
          <w:rFonts w:ascii="Calibri" w:hAnsi="Calibri"/>
          <w:sz w:val="22"/>
        </w:rPr>
        <w:t>El presente análisis evalúa profundamente las razones operativas del comportamiento de la automatización entre Junio y Julio 2026. Se analizan dos escenarios: 1) Switch Encendido (Automatización Estipulada con Riesgo Bajo Incluido) y 2) Switch Apagado (Ejecutado Real Estricto).</w:t>
        <w:br/>
        <w:br/>
        <w:t>Con el Switch Encendido, marcas principales como Ecuabet Ecuador se mantuvieron ESTABLES en 75% (-0.3% variación, de 75.2% a 74.9%), absorbiendo un crecimiento del +15.3% en volumen de retiros (+42.5k operaciones). En el ejecutado real estricto, la variación de -5.1% ocurrió porque un 4.8% del volumen de usuarios de Riesgo Bajo pasó a revisión manual por topes preventivos y volumen acumulado.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Marca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Junio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Julio (Estip/Real)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Crec. Vol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Encendido (Estipulado)</w:t>
            </w:r>
          </w:p>
        </w:tc>
        <w:tc>
          <w:tcPr>
            <w:tcW w:type="dxa" w:w="1419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Var. Switch Apagado (Real)</w:t>
            </w:r>
          </w:p>
        </w:tc>
        <w:tc>
          <w:tcPr>
            <w:tcW w:type="dxa" w:w="1419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Diagnóstico Operativo Profundo (Migración de Riesgo)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Ecuabet Ecuador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277,719 (75.2% / 62.0%)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320,263 (74.9% / 56.9%)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+15.3%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 EN 75%)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-5.1%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Con switch encendido la automatización quedó ESTABLE en 75% (-0.3%). La variación real (-5.1%) ocurrió porque un 4.8% del volumen de usuarios de Riesgo Bajo (que en Junio aprobaban directo) pasó en Julio a procesarse manualmente por el fuerte incremento de volumen (+15.3%) y topes del 10-Jun 17:00. Riesgo Medio/Alto permaneció estable (+0.3%).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Perú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88,899 (74.4% / 71.8%)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87,792 (73.4% / 67.4%)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-1.2%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-1.0% = (ESTABLE EN 73-74%)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-4.4%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Estable en 73-74% con switch encendido. En ejecutado real, un 3.4% de retiros de Riesgo Bajo pasó a revisión manual por superar el umbral dinámico de 1,999 PEN. Además, un 1.0% de usuarios migró a Riesgo Medio/Alto por repetición de solicitudes e IPs compartidas.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El Salvador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50,844 (60.7% / 27.2%)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57,743 (60.7% / 27.4%)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+13.6%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+0.0% = (ESTABLE EN 60.7%)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+0.2%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Operación perfectamente ESTABLE en 60.7% con switch encendido (0.0% variación). La distribución de riesgo no sufrió alteraciones: Riesgo Bajo se mantuvo en 33.3% y Riesgo Medio/Alto en 39.3%, absorbiendo un +13.6% de crecimiento en volumen USD.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Ecuador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28,344 (61.7% / 46.3%)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29,436 (61.8% / 35.8%)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+0.1% = (ESTABLE EN 62%)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-10.5%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Con switch encendido la efectividad se mantiene ESTABLE en 62% (+0.1%). La caída real (-10.5%) fue provocada por una migración masiva de solicitudes de Riesgo Bajo (+10.7%) hacia cola manual por el tope restrictivo de 250 USD y rollover 1.50.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Costa Rica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28,752 (60.8% / 57.8%)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27,349 (64.2% / 59.6%)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-4.9%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+3.4% 📈 (SUBIÓ AL 64.2%)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+1.8%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DESEMPEÑO POSITIVO: Aumentó +3.4% con switch encendido (alcanzando 64.2% / 17,569 retiros) y +1.8% en ejecutado real. Un 3.4% de usuarios que en Junio estaban en Riesgo Medio/Alto migró a categorías aprobables por estabilización de montos.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Paniplay Honduras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16,085 (81.0% / 70.7%)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15,929 (74.0% / 59.0%)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-1.0%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-7.0%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-11.7%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Doble migración de riesgo: Un 4.7% de usuarios de Riesgo Bajo pasó a revisión manual y un 7.0% migró de Riesgo Bajo hacia Riesgo Medio/Alto (subiendo de 19% a 26%) por auditorías preventivas en cuentas recurrentes y alertas AML.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Camanbet Venezuela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12,255 (62.2% / 20.8%)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12,811 (65.3% / 13.4%)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+4.5%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+3.1% 📈 (SUBIÓ AL 65.3%)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AUMENTÓ +3.1% con switch encendido (llegando a 65.3%). Un 3.1% de usuarios en Riesgo Medio/Alto migró a Riesgo Bajo. Sin embargo, la exigencia de rollover 3.0 en VES envió un 10.5% adicional de retiros de bajo riesgo a procesamiento manual.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El Salvador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11,901 (45.2% / 35.7%)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12,032 (53.7% / 36.4%)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+1.1%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+8.5% 📈 (SUBIÓ AL 53.7%)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+0.7%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GRAN MEJORA EN MIGRACIÓN DE RIESGO: Un 8.5% de usuarios que en Junio estaban en Riesgo Medio/Alto (54.8% -&gt; 46.3%) migró a Riesgo Bajo (9.5% -&gt; 17.4%), elevando la automatización estipulada del 45.2% al 53.7% (+8.5%).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GanaPlay Guatemala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5,107 (62.8% / 37.1%)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6,134 (60.2% / 33.4%)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+20.1%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-2.6%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-3.7%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El incremento masivo de volumen (+20.1%) derivó en un 2.6% de usuarios nuevos que ingresaron directamente a Riesgo Medio/Alto (37.2% -&gt; 39.8%) requiriendo validación KYC de primer retiro.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Guatemala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4,039 (69.8% / 58.3%)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4,191 (68.1% / 60.0%)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+3.8%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-1.7%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+1.7%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En el ejecutado real AUMENTÓ +1.7% (alcanzando 60.0%) gracias a que un 3.4% de casos de bajo riesgo pasó a aprobarse de forma totalmente automática.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Chile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2,510 (56.9% / 45.9%)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2,327 (52.3% / 38.3%)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-7.3%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-4.6%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-7.6%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Migración negativa: Un 4.6% de usuarios migró de Riesgo Bajo hacia Riesgo Medio/Alto (43.1% -&gt; 47.7%) por solicitudes de montos elevados sobre 999,999 CLP sin regla de automatización de riesgo medio activa.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Doradobet Honduras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1,030 (33.6% / 11.3%)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2,027 (36.9% / 2.7%)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+96.8%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+3.3% 📈 (SUBIÓ)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-8.6%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Pese a la duplicación de volumen (+96.8%), un 3.3% de usuarios migró de Riesgo Medio/Alto (66.4% -&gt; 63.1%) hacia Riesgo Bajo (22.3% -&gt; 34.2%), elevando la efectividad estipulada a 36.9%.</w:t>
            </w:r>
          </w:p>
        </w:tc>
      </w:tr>
      <w:tr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b/>
                <w:sz w:val="17"/>
              </w:rPr>
              <w:t>Doradobet Bolivia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1,130 (39.7% / 23.6%)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1,027 (34.9% / 0.2%)</w:t>
            </w:r>
          </w:p>
        </w:tc>
        <w:tc>
          <w:tcPr>
            <w:tcW w:type="dxa" w:w="1419"/>
            <w:shd w:fill="F8FAFC"/>
          </w:tcPr>
          <w:p>
            <w:pPr>
              <w:jc w:val="center"/>
            </w:pPr>
            <w:r>
              <w:rPr>
                <w:sz w:val="17"/>
              </w:rPr>
              <w:t>-9.1%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-4.8% 📉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-23.4%</w:t>
            </w:r>
          </w:p>
        </w:tc>
        <w:tc>
          <w:tcPr>
            <w:tcW w:type="dxa" w:w="1419"/>
            <w:shd w:fill="F8FAFC"/>
          </w:tcPr>
          <w:p>
            <w:pPr>
              <w:jc w:val="left"/>
            </w:pPr>
            <w:r>
              <w:rPr>
                <w:sz w:val="17"/>
              </w:rPr>
              <w:t>Reclasificación masiva por la pasarela de pagos local: el 23.4% de retiros automáticos fue suspendido, desviando un 18.6% a Riesgo Bajo manual y un 4.8% directamente a Riesgo Medio/Alto.</w:t>
            </w:r>
          </w:p>
        </w:tc>
      </w:tr>
      <w:tr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b/>
                <w:sz w:val="17"/>
              </w:rPr>
              <w:t>Camanbet Venezuela 2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681 (78.0% / 44.2%)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748 (77.7% / 27.0%)</w:t>
            </w:r>
          </w:p>
        </w:tc>
        <w:tc>
          <w:tcPr>
            <w:tcW w:type="dxa" w:w="1419"/>
            <w:shd w:fill="FFFFFF"/>
          </w:tcPr>
          <w:p>
            <w:pPr>
              <w:jc w:val="center"/>
            </w:pPr>
            <w:r>
              <w:rPr>
                <w:sz w:val="17"/>
              </w:rPr>
              <w:t>+9.8%</w:t>
            </w:r>
          </w:p>
        </w:tc>
        <w:tc>
          <w:tcPr>
            <w:tcW w:type="dxa" w:w="1419"/>
            <w:shd w:fill="ECFDF5"/>
          </w:tcPr>
          <w:p>
            <w:pPr>
              <w:jc w:val="center"/>
            </w:pPr>
            <w:r>
              <w:rPr>
                <w:b/>
                <w:sz w:val="17"/>
              </w:rPr>
              <w:t>-0.3% = (ESTABLE)</w:t>
            </w:r>
          </w:p>
        </w:tc>
        <w:tc>
          <w:tcPr>
            <w:tcW w:type="dxa" w:w="1419"/>
            <w:shd w:fill="F0F9FF"/>
          </w:tcPr>
          <w:p>
            <w:pPr>
              <w:jc w:val="center"/>
            </w:pPr>
            <w:r>
              <w:rPr>
                <w:sz w:val="17"/>
              </w:rPr>
              <w:t>-17.2%</w:t>
            </w:r>
          </w:p>
        </w:tc>
        <w:tc>
          <w:tcPr>
            <w:tcW w:type="dxa" w:w="1419"/>
            <w:shd w:fill="FFFFFF"/>
          </w:tcPr>
          <w:p>
            <w:pPr>
              <w:jc w:val="left"/>
            </w:pPr>
            <w:r>
              <w:rPr>
                <w:sz w:val="17"/>
              </w:rPr>
              <w:t>Estable en 78% con switch encendido (-0.3%). Un 16.9% de bajo riesgo pasó a manual por sensibilidad en filtros anti-fraude en VES. Riesgo Medio/Alto se mantuvo intacto en 22.3%.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