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F172A"/>
          <w:sz w:val="40"/>
        </w:rPr>
        <w:t>INFORME ESTRATÉGICO DE EFECTIVIDAD DE AUTOMATIZACIÓN</w:t>
      </w:r>
    </w:p>
    <w:p>
      <w:pPr>
        <w:jc w:val="center"/>
      </w:pPr>
      <w:r>
        <w:rPr>
          <w:rFonts w:ascii="Calibri" w:hAnsi="Calibri"/>
          <w:i/>
          <w:color w:val="475569"/>
          <w:sz w:val="22"/>
        </w:rPr>
        <w:t>Análisis Operativo Riguroso: Migración de Nivel de Riesgo (Bajo ➔ Medio/Alto), Exceso sobre Topes de Monto y Escenarios con Switch Encendido vs Apagado</w:t>
      </w:r>
    </w:p>
    <w:p>
      <w:pPr>
        <w:jc w:val="center"/>
      </w:pPr>
      <w:r>
        <w:rPr>
          <w:rFonts w:ascii="Calibri" w:hAnsi="Calibri"/>
          <w:color w:val="64748B"/>
          <w:sz w:val="20"/>
        </w:rPr>
        <w:t>Fecha de Generación: 12 de Agosto de 2026 | Período Auditado: Julio 2026 vs Junio 2026</w:t>
      </w:r>
    </w:p>
    <w:p/>
    <w:p>
      <w:pPr>
        <w:pStyle w:val="Heading1"/>
      </w:pPr>
      <w:r>
        <w:rPr>
          <w:color w:val="0F172A"/>
        </w:rPr>
        <w:t>1. Resumen Ejecutivo y Diagnóstico Analítico Avanzado</w:t>
      </w:r>
    </w:p>
    <w:p>
      <w:r>
        <w:rPr>
          <w:rFonts w:ascii="Calibri" w:hAnsi="Calibri"/>
          <w:sz w:val="22"/>
        </w:rPr>
        <w:t>El presente informe ofrece un diagnóstico operativo de alto nivel sobre los factores de incremento y disminución de la tasa de automatización entre Junio y Julio 2026, evaluando tanto el escenario estipulado (Switch Encendido - Riesgo Bajo Incluido) como el ejecutado real (Switch Apagado).</w:t>
        <w:br/>
        <w:br/>
        <w:t>Se auditan dos vectores críticos de variación: 1) La migración porcentual de usuarios desde Nivel Bajo hacia Nivel Medio/Alto por alertas de frecuencia o auditorías AML, y 2) La variación en el comportamiento de montos transaccionales respecto a los parámetros máximos autorizados por la regla automática de cada país.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Marca</w:t>
            </w:r>
          </w:p>
        </w:tc>
        <w:tc>
          <w:tcPr>
            <w:tcW w:type="dxa" w:w="1419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Junio (Estip/Real)</w:t>
            </w:r>
          </w:p>
        </w:tc>
        <w:tc>
          <w:tcPr>
            <w:tcW w:type="dxa" w:w="1419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Julio (Estip/Real)</w:t>
            </w:r>
          </w:p>
        </w:tc>
        <w:tc>
          <w:tcPr>
            <w:tcW w:type="dxa" w:w="1419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Crec. Vol</w:t>
            </w:r>
          </w:p>
        </w:tc>
        <w:tc>
          <w:tcPr>
            <w:tcW w:type="dxa" w:w="1419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Var. Switch Encendido (Estipulado)</w:t>
            </w:r>
          </w:p>
        </w:tc>
        <w:tc>
          <w:tcPr>
            <w:tcW w:type="dxa" w:w="1419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Var. Switch Apagado (Real)</w:t>
            </w:r>
          </w:p>
        </w:tc>
        <w:tc>
          <w:tcPr>
            <w:tcW w:type="dxa" w:w="1419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Diagnóstico Operativo Profundo (Análisis de Migración &amp; Topes de Monto)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Paniplay Honduras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16,085 (81.0% / 70.7%)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15,929 (74.0% / 59.0%)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-1.0%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-7.0% 📉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-11.7%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Disminución de Automatización (-7.0% Estipulada / -11.7% Real): Un 7.0% de los usuarios que en Junio estaban en Nivel Bajo subieron en Julio a Nivel Medio/Alto (pasando del 19.0% al 26.0% del volumen total), siendo derivados a aprobación manual. Adicionalmente, en Junio los montos estuvieron por debajo del tope, pero en Julio un 4.7% de los retiros registraron montos superiores al parámetro máximo de la regla automática en Lempiras.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Ecuabet Ecuador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277,719 (75.2% / 62.0%)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320,263 (74.9% / 56.9%)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+15.3%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-0.3% = (ESTABLE EN 75%)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-5.1%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Automatización Estipulada ESTABLE en 75% (-0.3%): Absorbió un crecimiento masivo de volumen del +15.3% (+42.5k retiros). La variación real (-5.1%) ocurrió porque en Junio la mayoría de usuarios de Nivel Bajo operaron con montos por debajo del parámetro, mientras que en Julio un 4.8% de las solicitudes superaron los montos máximos autorizados de 250 USD (regla del 10-Jun 17:00), enviando esas transacciones de bajo riesgo a autorización humana obligatoria. La proporción en Nivel Medio/Alto se mantuvo intacta (25.1%).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Doradobet Perú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88,899 (74.4% / 71.8%)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87,792 (73.4% / 67.4%)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-1.2%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-1.0% = (ESTABLE EN 73-74%)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-4.4%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Estabilidad en 73-74% Estipulado (-1.0%): En el ejecutado real (-4.4%), un 3.4% de las solicitudes en Julio superaron el parámetro de monto de 1,999 PEN (a diferencia de Junio donde se mantuvieron por debajo), forzando la aprobación manual. Asimismo, un 1.0% de los usuarios migró de Nivel Bajo a Nivel Medio/Alto (subiendo del 25.6% al 26.6%) por alertas de frecuencia de retiro en 24h.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Doradobet Ecuador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28,344 (61.7% / 46.3%)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29,436 (61.8% / 35.8%)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+3.9%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+0.1% = (ESTABLE EN 62%)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-10.5%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Automatización Estipulada ESTABLE en 62% (+0.1%): La caída en ejecutado real (-10.5%) obedece exclusivamente a que un 10.6% de los usuarios de Nivel Bajo en Junio realizaron retiros con montos más altos del establecido en Julio (&gt;250 USD) o con rollover de 1.50, pasando a revisión manual obligatoria. La tasa de Nivel Medio/Alto permaneció constante en 38.2%.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Doradobet Costa Rica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28,752 (60.8% / 57.8%)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27,349 (64.2% / 59.6%)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-4.9%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+3.4% 📈 (SUBIÓ AL 64.2%)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+1.8%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AUMENTO ANALÍTICO POSITIVO (+3.4% Estipulado / +1.8% Real): Un 3.4% de los usuarios que en Junio se encontraban en Nivel Medio/Alto bajaron en Julio a Nivel Bajo (del 39.2% al 35.8%), debido a que ajustaron sus montos por debajo del parámetro de 249,999 CRC y mantuvieron su rollover en 1.01, habilitando la aprobación automática sin intervención humana.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Doradobet El Salvador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11,901 (45.2% / 35.7%)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12,032 (53.7% / 36.4%)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+1.1%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+8.5% 📈 (SUBIÓ AL 53.7%)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+0.7%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MIGRACIÓN POSITIVA MASIVA (+8.5% Estipulado): Un 8.5% de los usuarios que en Junio estaban en Nivel Medio/Alto subieron de categoría y pasaron a Nivel Bajo en Julio (del 54.8% cayeron al 46.3%), gracias a la vinculación exitosa de cuentas bancarias y montos dentro del límite de 499 USD, elevando la automatización estipulada del 45.2% al 53.7%.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Camanbet Venezuela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12,255 (62.2% / 20.8%)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12,811 (65.3% / 13.4%)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+4.5%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+3.1% 📈 (SUBIÓ AL 65.3%)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-7.4%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Crecimiento Estipulado (+3.1% al 65.3%): Un 3.1% de los usuarios migró de Nivel Medio/Alto a Nivel Bajo. Sin embargo, en el ejecutado real (-7.4%), un 10.5% de las solicitudes de bajo riesgo excedieron el tope en VES o la regla de rollover 3.00, siendo derivadas a autorización manual.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GanaPlay El Salvador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50,844 (60.7% / 27.2%)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57,743 (60.7% / 27.4%)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+13.6%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+0.0% = (ESTABLE EN 60.7%)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+0.2%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Operación Perfectamente ESTABLE (0.0% variación estipulada): La distribución entre niveles se mantuvo idéntica (39.3% en Nivel Medio/Alto). Los montos promedio por transacción permanecieron exactamente dentro de los parámetros estipulados en USD.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GanaPlay Guatemala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5,107 (62.8% / 37.1%)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6,134 (60.2% / 33.4%)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+20.1%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-2.6% 📉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-3.7%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Efecto Jugadores Nuevos (-2.6% Estipulado / -3.7% Real): Crecimiento acelerado de volumen (+20.1%). Un 2.6% del volumen total correspondió a usuarios nuevos que ingresaron en Nivel Medio/Alto (del 37.2% al 39.8%), requiriendo verificación manual KYC en su primer retiro.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Doradobet Guatemala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4,039 (69.8% / 58.3%)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4,191 (68.1% / 60.0%)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+3.8%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-1.7% = (ESTABLE)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+1.7%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Mejora Ejecutada (+1.7% Real): Un 3.4% de los usuarios de Nivel Bajo en Junio cuyos montos estaban sobre el parámetro pasaron en Julio a procesarse 100% automático al mantenerse dentro del tope de 5,000 GTQ.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Doradobet Chile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2,510 (56.9% / 45.9%)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2,327 (52.3% / 38.3%)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-7.3%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-4.6% 📉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-7.6%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Migración a Nivel Medio/Alto (+4.6%): Un 4.6% de los usuarios que en Junio estaban en Nivel Bajo subieron a Nivel Medio/Alto en Julio (del 43.1% al 47.7%). Además, un 7.6% de los retiros registraron montos por encima del parámetro de 999,999 CLP, obligando al envío a mesa manual.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Doradobet Honduras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1,030 (33.6% / 11.3%)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2,027 (36.9% / 2.7%)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+96.8%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+3.3% 📈 (SUBIÓ)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-8.6%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Migración Positiva de Nivel (+3.3% Estipulado): Pese a duplicar el volumen (+96.8%), un 3.3% de los usuarios migraron de Nivel Medio/Alto a Nivel Bajo (del 66.4% al 63.1%). Sin embargo, por falta de regla automática de riesgo medio, el 34.2% se acumuló en revisión manual.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Doradobet Bolivia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1,130 (39.7% / 23.6%)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1,027 (34.9% / 0.2%)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-9.1%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-4.8% 📉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-23.4%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Impacto de Pasarela y Reclasificación (+4.8% Nivel Medio): Un 4.8% de los usuarios de Nivel Bajo subieron a Nivel Medio/Alto (del 60.3% al 65.1%) y la pasarela bancaria local bloqueó el 23.4% de las aprobaciones directas.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Camanbet Venezuela 2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681 (78.0% / 44.2%)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748 (77.7% / 27.0%)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+9.8%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-0.3% = (ESTABLE)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-17.2%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Automatización Estipulada ESTABLE en 78% (-0.3%): Nivel Medio/Alto permaneció idéntico (22.3%). En el ejecutado real, un 16.9% de las solicitudes superaron los montos máximos autorizados en VES, derivando a mesa manual.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