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INFORME ESTRATÉGICO DE EFECTIVIDAD DE AUTOMATIZACIÓN</w:t>
      </w:r>
    </w:p>
    <w:p>
      <w:pPr>
        <w:jc w:val="center"/>
      </w:pPr>
      <w:r>
        <w:rPr>
          <w:rFonts w:ascii="Calibri" w:hAnsi="Calibri"/>
          <w:i/>
          <w:color w:val="475569"/>
          <w:sz w:val="24"/>
        </w:rPr>
        <w:t>Análisis de Variación Mes a Mes (Julio vs Junio 2026) y Diagnóstico Operativo por Marca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Fecha de Generación: 11 de Agosto de 2026 | Período Auditado: Julio 2026 vs Junio 2026</w:t>
      </w:r>
    </w:p>
    <w:p/>
    <w:p>
      <w:pPr>
        <w:pStyle w:val="Heading1"/>
      </w:pPr>
      <w:r>
        <w:rPr>
          <w:color w:val="0F172A"/>
        </w:rPr>
        <w:t>1. Resumen Ejecutivo y Resultados Consolidados</w:t>
      </w:r>
    </w:p>
    <w:p>
      <w:r>
        <w:rPr>
          <w:rFonts w:ascii="Calibri" w:hAnsi="Calibri"/>
          <w:sz w:val="22"/>
        </w:rPr>
        <w:t>Durante el mes de Julio 2026, el volumen total de solicitudes de retiro procesadas en la plataforma ascendió a 579,809 operaciones, representando un crecimiento del +9.5% frente al mes de Junio (529,296 retiros). La tasa global de automatización cerró en 52.7% (305,366 retiros aprobados automáticamente), mostrando una variación de -4.7% respecto a Junio (57.4%), motivada principalmente por la aplicación de reglas anti-fraude más estrictas el 10 de Junio a las 5:00 PM en marcas clave como Ecuabet Ecuador y Doradobet Ecuador.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Métrica Global</w:t>
            </w:r>
          </w:p>
        </w:tc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Junio 2026</w:t>
            </w:r>
          </w:p>
        </w:tc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Julio 2026</w:t>
            </w:r>
          </w:p>
        </w:tc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Variación / Crecimiento</w:t>
            </w:r>
          </w:p>
        </w:tc>
      </w:tr>
      <w:tr>
        <w:tc>
          <w:tcPr>
            <w:tcW w:type="dxa" w:w="2484"/>
            <w:shd w:fill="F8FAFC"/>
          </w:tcPr>
          <w:p>
            <w:pPr>
              <w:jc w:val="left"/>
            </w:pPr>
            <w:r>
              <w:rPr>
                <w:b/>
                <w:sz w:val="19"/>
              </w:rPr>
              <w:t>Total Retiros / Notas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9"/>
              </w:rPr>
              <w:t>529,296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9"/>
              </w:rPr>
              <w:t>579,809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9"/>
              </w:rPr>
              <w:t>+9.5% 📈</w:t>
            </w:r>
          </w:p>
        </w:tc>
      </w:tr>
      <w:tr>
        <w:tc>
          <w:tcPr>
            <w:tcW w:type="dxa" w:w="2484"/>
            <w:shd w:fill="FFFFFF"/>
          </w:tcPr>
          <w:p>
            <w:pPr>
              <w:jc w:val="left"/>
            </w:pPr>
            <w:r>
              <w:rPr>
                <w:b/>
                <w:sz w:val="19"/>
              </w:rPr>
              <w:t>Retiros Automáticos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9"/>
              </w:rPr>
              <w:t>303,934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9"/>
              </w:rPr>
              <w:t>305,366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9"/>
              </w:rPr>
              <w:t>+0.5% 📈</w:t>
            </w:r>
          </w:p>
        </w:tc>
      </w:tr>
      <w:tr>
        <w:tc>
          <w:tcPr>
            <w:tcW w:type="dxa" w:w="2484"/>
            <w:shd w:fill="F8FAFC"/>
          </w:tcPr>
          <w:p>
            <w:pPr>
              <w:jc w:val="left"/>
            </w:pPr>
            <w:r>
              <w:rPr>
                <w:b/>
                <w:sz w:val="19"/>
              </w:rPr>
              <w:t>Tasa de Automatización (%)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9"/>
              </w:rPr>
              <w:t>57.4%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9"/>
              </w:rPr>
              <w:t>52.7%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9"/>
              </w:rPr>
              <w:t>-4.7% 📉</w:t>
            </w:r>
          </w:p>
        </w:tc>
      </w:tr>
      <w:tr>
        <w:tc>
          <w:tcPr>
            <w:tcW w:type="dxa" w:w="2484"/>
            <w:shd w:fill="FFFFFF"/>
          </w:tcPr>
          <w:p>
            <w:pPr>
              <w:jc w:val="left"/>
            </w:pPr>
            <w:r>
              <w:rPr>
                <w:b/>
                <w:sz w:val="19"/>
              </w:rPr>
              <w:t>Aprobaciones Manuales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9"/>
              </w:rPr>
              <w:t>225,362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9"/>
              </w:rPr>
              <w:t>274,443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9"/>
              </w:rPr>
              <w:t>+21.8% (Mayor revisión)</w:t>
            </w:r>
          </w:p>
        </w:tc>
      </w:tr>
    </w:tbl>
    <w:p/>
    <w:p>
      <w:pPr>
        <w:pStyle w:val="Heading1"/>
      </w:pPr>
      <w:r>
        <w:rPr>
          <w:color w:val="0F172A"/>
        </w:rPr>
        <w:t>2. Análisis de Variación por Marca: ¿Por qué Aumentó o Disminuyó?</w:t>
      </w:r>
    </w:p>
    <w:p>
      <w:r>
        <w:rPr>
          <w:rFonts w:ascii="Calibri" w:hAnsi="Calibri"/>
          <w:sz w:val="22"/>
        </w:rPr>
        <w:t>A continuación se detalla el comportamiento individual de cada una de las 14 marcas operativas, evaluando la variación en el volumen total y la tasa de automatización entre Junio y Julio 2026, con el diagnóstico exacto del origen de cada cambio: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Junio 2026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Julio 2026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Crec. Vol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 Auto</w:t>
            </w:r>
          </w:p>
        </w:tc>
        <w:tc>
          <w:tcPr>
            <w:tcW w:type="dxa" w:w="1656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Diagnóstico Operativo (Causa del Cambio)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Ecuabet Ecuador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277,719 (62.0%)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320,263 (56.9%)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+15.3%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-5.1%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Subida de volumen (+15.3%) y endurecimiento de reglas anti-fraude aplicado el 10-Jun 17:00 (restricción en límites de monto y verificación estricta de riesgo medio/alto), derivando mayor proporción a cola manual.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Perú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88,899 (71.8%)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87,792 (67.4%)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-1.2%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-4.4%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Mayor concentración de retiros superiores al umbral de 1,999 PEN (riesgo medio), requiriendo validación manual obligatoria por política anti-fraude.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El Salvador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50,844 (27.2%)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57,743 (27.4%)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+13.6%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+0.2%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Operación estable con ligero aumento (+0.2%) gracias al procesamiento continuo de solicitudes de bajo riesgo en USD.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Ecuador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28,344 (46.3%)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29,436 (35.8%)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+3.9%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-10.5%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Caída (-10.5%) por restricción en aprobaciones de riesgo medio (máx 250 USD y rollover 1.50), incrementando revisión manual.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Costa Rica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28,752 (57.8%)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27,349 (59.6%)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-4.9%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+1.8%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Crecimiento de automatización (+1.8%) motivado por alta efectividad en retiros de bajo riesgo hasta 249,999 CRC con rollover 1.01.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Paniplay Honduras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16,085 (70.7%)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15,929 (59.0%)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-1.0%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-11.7%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Disminución (-11.7%) por aumento de revisiones manuales en riesgo alto y auditoría preventiva de cuentas recurrentes.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Camanbet Venezuela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12,255 (20.8%)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12,811 (13.4%)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+4.5%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-7.4%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Parámetro de Rejuego (Rollover = 3.00) muy elevado en VES, enviando el 86.6% de transacciones a aprobación manual.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El Salvador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11,901 (35.7%)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12,032 (36.4%)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+1.1%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+0.7%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Aumento constante (+0.7%) sustentado en retiros de bajo riesgo hasta 499 USD con validación de IP y cuenta bancaria.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Guatemala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5,107 (37.1%)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6,134 (33.4%)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+20.1%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-3.7%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Incremento de volumen (+20.1%) impulsado por usuarios nuevos que requieren verificación de identidad en su primer retiro.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Guatemala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4,039 (58.3%)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4,191 (60.0%)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+3.8%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+1.7%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Subida de automatización (+1.7%) alcanzando el 60% por óptima efectividad del parámetro de bajo riesgo hasta 5,000 GTQ.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Chile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2,510 (45.9%)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2,327 (38.3%)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-7.3%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-7.6%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Ausencia de reglas parametrizadas para riesgo Medio/Sin Nivel, obligando a procesar manualmente montos sobre 999,999 CLP.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Honduras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1,030 (11.3%)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2,027 (2.7%)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+96.8%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-8.6%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Crecimiento exponencial de volumen (+96.8%) sin reglas de riesgo medio activadas, derivando casi todo a revisión manual.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Bolivia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1,130 (23.6%)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1,027 (0.2%)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-9.1%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7"/>
              </w:rPr>
              <w:t>-23.4%</w:t>
            </w:r>
          </w:p>
        </w:tc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sz w:val="17"/>
              </w:rPr>
              <w:t>Reclasificación masiva de riesgo en la pasarela de pagos local enviando el 99.8% de operaciones a revisión manual.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Camanbet Venezuela 2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681 (44.2%)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748 (27.0%)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+9.8%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7"/>
              </w:rPr>
              <w:t>-17.2%</w:t>
            </w:r>
          </w:p>
        </w:tc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sz w:val="17"/>
              </w:rPr>
              <w:t>Sensibilidad alta en filtros de prevención anti-fraude para VES enviando retiros medianos a revisión manual.</w:t>
            </w:r>
          </w:p>
        </w:tc>
      </w:tr>
    </w:tbl>
    <w:p/>
    <w:p>
      <w:pPr>
        <w:pStyle w:val="Heading1"/>
      </w:pPr>
      <w:r>
        <w:rPr>
          <w:color w:val="0F172A"/>
        </w:rPr>
        <w:t>3. Desglose de Retiros Automáticos vs Aprobación Manual (Julio 2026)</w:t>
      </w:r>
    </w:p>
    <w:p>
      <w:r>
        <w:rPr>
          <w:rFonts w:ascii="Calibri" w:hAnsi="Calibri"/>
          <w:sz w:val="22"/>
        </w:rPr>
        <w:t>Distribución detallada de las 579,809 notas filtradas en el mes de Julio, separando las aprobaciones automáticas y los dos niveles de revisión manual (Bajo Riesgo y Otros Niveles):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Marca / Partner</w:t>
            </w:r>
          </w:p>
        </w:tc>
        <w:tc>
          <w:tcPr>
            <w:tcW w:type="dxa" w:w="1987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Total Retiros</w:t>
            </w:r>
          </w:p>
        </w:tc>
        <w:tc>
          <w:tcPr>
            <w:tcW w:type="dxa" w:w="1987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Retiros Automáticos</w:t>
            </w:r>
          </w:p>
        </w:tc>
        <w:tc>
          <w:tcPr>
            <w:tcW w:type="dxa" w:w="1987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Bajos en Manual</w:t>
            </w:r>
          </w:p>
        </w:tc>
        <w:tc>
          <w:tcPr>
            <w:tcW w:type="dxa" w:w="1987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Manuales Otros Niveles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Ecuabet Ecuador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320,263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182,313 (56.9%)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57,545 (18.0%)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80,405 (25.1%)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Doradobet Perú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87,792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59,169 (67.4%)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5,287 (6.0%)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23,336 (26.6%)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GanaPlay El Salvador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57,743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15,838 (27.4%)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19,226 (33.3%)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22,679 (39.3%)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Doradobet Ecuador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29,436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10,538 (35.8%)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7,647 (26.0%)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11,251 (38.2%)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Doradobet Costa Rica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27,349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16,308 (59.6%)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1,261 (4.6%)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9,780 (35.8%)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Paniplay Honduras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15,929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9,398 (59.0%)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2,395 (15.0%)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4,136 (26.0%)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Camanbet Venezuela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12,811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1,713 (13.4%)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6,651 (51.9%)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4,447 (34.7%)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Doradobet El Salvador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12,032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4,375 (36.4%)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2,091 (17.4%)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5,566 (46.2%)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GanaPlay Guatemala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6,134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2,051 (33.4%)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1,640 (26.7%)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2,443 (39.8%)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Doradobet Guatemala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4,191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2,513 (60.0%)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342 (8.2%)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1,336 (31.8%)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Doradobet Chile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2,327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891 (38.3%)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327 (14.1%)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1,109 (47.6%)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Doradobet Honduras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2,027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55 (2.7%)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693 (34.2%)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1,279 (63.1%)</w:t>
            </w:r>
          </w:p>
        </w:tc>
      </w:tr>
      <w:tr>
        <w:tc>
          <w:tcPr>
            <w:tcW w:type="dxa" w:w="1987"/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Doradobet Bolivia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1,027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2 (0.2%)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356 (34.7%)</w:t>
            </w:r>
          </w:p>
        </w:tc>
        <w:tc>
          <w:tcPr>
            <w:tcW w:type="dxa" w:w="1987"/>
            <w:shd w:fill="F8FAFC"/>
          </w:tcPr>
          <w:p>
            <w:pPr>
              <w:jc w:val="center"/>
            </w:pPr>
            <w:r>
              <w:rPr>
                <w:sz w:val="18"/>
              </w:rPr>
              <w:t>669 (65.1%)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b/>
                <w:sz w:val="18"/>
              </w:rPr>
              <w:t>Camanbet Venezuela 2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748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202 (27.0%)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379 (50.7%)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8"/>
              </w:rPr>
              <w:t>167 (22.3%)</w:t>
            </w:r>
          </w:p>
        </w:tc>
      </w:tr>
      <w:tr>
        <w:tc>
          <w:tcPr>
            <w:tcW w:type="dxa" w:w="1987"/>
            <w:shd w:fill="E2E8F0"/>
          </w:tcPr>
          <w:p>
            <w:pPr>
              <w:jc w:val="left"/>
            </w:pPr>
            <w:r>
              <w:rPr>
                <w:b/>
                <w:sz w:val="18"/>
              </w:rPr>
              <w:t>TOTAL GENERAL</w:t>
            </w:r>
          </w:p>
        </w:tc>
        <w:tc>
          <w:tcPr>
            <w:tcW w:type="dxa" w:w="1987"/>
            <w:shd w:fill="E2E8F0"/>
          </w:tcPr>
          <w:p>
            <w:pPr>
              <w:jc w:val="center"/>
            </w:pPr>
            <w:r>
              <w:rPr>
                <w:b/>
                <w:sz w:val="18"/>
              </w:rPr>
              <w:t>579,809</w:t>
            </w:r>
          </w:p>
        </w:tc>
        <w:tc>
          <w:tcPr>
            <w:tcW w:type="dxa" w:w="1987"/>
            <w:shd w:fill="E2E8F0"/>
          </w:tcPr>
          <w:p>
            <w:pPr>
              <w:jc w:val="center"/>
            </w:pPr>
            <w:r>
              <w:rPr>
                <w:b/>
                <w:sz w:val="18"/>
              </w:rPr>
              <w:t>305,366 (52.7%)</w:t>
            </w:r>
          </w:p>
        </w:tc>
        <w:tc>
          <w:tcPr>
            <w:tcW w:type="dxa" w:w="1987"/>
            <w:shd w:fill="E2E8F0"/>
          </w:tcPr>
          <w:p>
            <w:pPr>
              <w:jc w:val="center"/>
            </w:pPr>
            <w:r>
              <w:rPr>
                <w:b/>
                <w:sz w:val="18"/>
              </w:rPr>
              <w:t>105,840 (18.3%)</w:t>
            </w:r>
          </w:p>
        </w:tc>
        <w:tc>
          <w:tcPr>
            <w:tcW w:type="dxa" w:w="1987"/>
            <w:shd w:fill="E2E8F0"/>
          </w:tcPr>
          <w:p>
            <w:pPr>
              <w:jc w:val="center"/>
            </w:pPr>
            <w:r>
              <w:rPr>
                <w:b/>
                <w:sz w:val="18"/>
              </w:rPr>
              <w:t>168,603 (29.1%)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