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F172A"/>
          <w:sz w:val="40"/>
        </w:rPr>
        <w:t>INFORME ESTRATÉGICO DE EFECTIVIDAD DE AUTOMATIZACIÓN</w:t>
      </w:r>
    </w:p>
    <w:p>
      <w:pPr>
        <w:jc w:val="center"/>
      </w:pPr>
      <w:r>
        <w:rPr>
          <w:rFonts w:ascii="Calibri" w:hAnsi="Calibri"/>
          <w:i/>
          <w:color w:val="475569"/>
          <w:sz w:val="24"/>
        </w:rPr>
        <w:t>Medición Comparativa de Variación: Switch Encendido (Riesgo Bajo Incluido) vs Switch Apagado (Ejecutado Real)</w:t>
      </w:r>
    </w:p>
    <w:p>
      <w:pPr>
        <w:jc w:val="center"/>
      </w:pPr>
      <w:r>
        <w:rPr>
          <w:rFonts w:ascii="Calibri" w:hAnsi="Calibri"/>
          <w:color w:val="64748B"/>
          <w:sz w:val="20"/>
        </w:rPr>
        <w:t>Fecha de Generación: 12 de Agosto de 2026 | Período Auditado: Julio 2026 vs Junio 2026</w:t>
      </w:r>
    </w:p>
    <w:p/>
    <w:p>
      <w:pPr>
        <w:pStyle w:val="Heading1"/>
      </w:pPr>
      <w:r>
        <w:rPr>
          <w:color w:val="0F172A"/>
        </w:rPr>
        <w:t>1. Resumen Ejecutivo y Comparación Dual de Variación</w:t>
      </w:r>
    </w:p>
    <w:p>
      <w:r>
        <w:rPr>
          <w:rFonts w:ascii="Calibri" w:hAnsi="Calibri"/>
          <w:sz w:val="22"/>
        </w:rPr>
        <w:t>El presente informe audita la variación en la tasa de automatización de retiros entre Junio y Julio 2026 bajo dos perspectivas complementarias: 1) Escenario Estipulado (Switch Encendido): Incluye todos los casos de Riesgo Bajo como automáticos. 2) Escenario Real Estricto (Switch Apagado): Mide únicamente las solicitudes efectivamente procesadas por la pasarela automática.</w:t>
        <w:br/>
        <w:br/>
        <w:t>En Ecuabet Ecuador, con el switch encendido la automatización se mantuvo ESTABLE en 75% (-0.3%), habiendo procesado 239,858 retiros sobre 320,263 notas. En el ejecutado real estricto la tasa varió -5.1% (de 62.0% a 56.9%) debido al aumento del volumen transaccional (+15.3%) retenido preventivamente en cola manual.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Marca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Junio (Estip/Real)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Julio (Estip/Real)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Crec. Vol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Var. Switch Encendido (Estipulado)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Var. Switch Apagado (Real)</w:t>
            </w:r>
          </w:p>
        </w:tc>
        <w:tc>
          <w:tcPr>
            <w:tcW w:type="dxa" w:w="1419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Diagnóstico Operativo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Ecuabet Ecuador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277,719 (75.2% / 62.0%)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320,263 (74.9% / 56.9%)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+15.3%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-0.3% = (ESTABLE EN 75%)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-5.1%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Con switch encendido la automatización se mantuvo ESTABLE en 75% (-0.3%). En el ejecutado real varió -5.1% por mayor volumen manual de bajo riesgo.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Perú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88,899 (74.4% / 71.8%)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87,792 (73.4% / 67.4%)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-1.2%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-1.0% = (ESTABLE EN 73-74%)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-4.4%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Estable en 73-74% con switch encendido (-1.0%). Variación real de -4.4% por retiros sobre 1,999 PEN derivados a auditoría manual.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GanaPlay El Salvador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50,844 (60.7% / 27.2%)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57,743 (60.7% / 27.4%)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+13.6%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+0.0% = (ESTABLE)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+0.2%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Operación perfectamente ESTABLE en 60.7% con switch encendido (0.0%) y ligera mejora real (+0.2%) con crecimiento de volumen USD.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Ecuador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28,344 (61.7% / 46.3%)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29,436 (61.8% / 35.8%)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+3.9%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+0.1% = (ESTABLE)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-10.5%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Con switch encendido se mantiene ESTABLE en 62% (+0.1%). Caída real (-10.5%) por restricciones post 10-Jun en riesgo medio.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Doradobet Costa Rica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28,752 (60.8% / 57.8%)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27,349 (64.2% / 59.6%)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-4.9%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+3.4% 📈 (SUBIÓ)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+1.8%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AUMENTÓ en ambos escenarios: +3.4% con switch encendido (alcanzando 64.2% / 17,569 retiros) y +1.8% en el ejecutado real.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Paniplay Honduras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16,085 (81.0% / 70.7%)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15,929 (74.0% / 59.0%)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-1.0%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-7.0% 📉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-11.7%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Disminución en ambos escenarios (-7.0% estipulado / -11.7% real) por incremento en auditorías preventivas de riesgo alto.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Camanbet Venezuela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12,255 (62.2% / 20.8%)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12,811 (65.3% / 13.4%)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+4.5%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+3.1% 📈 (SUBIÓ)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-7.4%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AUMENTÓ +3.1% con switch encendido (alcanzando 65.3%). Caída real (-7.4%) por parámetro de rollover 3.0 en VES.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El Salvador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11,901 (45.2% / 35.7%)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12,032 (53.7% / 36.4%)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+1.1%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+8.5% 📈 (SUBIÓ)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+0.7%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AUMENTÓ fuertemente +8.5% con switch encendido (pasando de 45.2% a 53.7%) y +0.7% en ejecutado real.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GanaPlay Guatemala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5,107 (62.8% / 37.1%)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6,134 (60.2% / 33.4%)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+20.1%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-2.6% 📉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-3.7%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Disminución leve (-2.6% estipulado / -3.7% real) impulsada por usuarios nuevos que requieren verificación de identidad.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Guatemala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4,039 (69.8% / 58.3%)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4,191 (68.1% / 60.0%)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+3.8%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-1.7% = (ESTABLE)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+1.7%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Operación estable en 68% con switch encendido (-1.7%) y mejora en el ejecutado real (+1.7%).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Doradobet Chile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2,510 (56.9% / 45.9%)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2,327 (52.3% / 38.3%)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-7.3%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-4.6% 📉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-7.6%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Disminución (-4.6% estipulado / -7.6% real) por falta de reglas para riesgo medio en CLP.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Honduras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1,030 (33.6% / 11.3%)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2,027 (36.9% / 2.7%)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+96.8%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+3.3% 📈 (SUBIÓ)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-8.6%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AUMENTÓ +3.3% con switch encendido (llegando a 36.9%) pese a duplicación de volumen transaccional.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Doradobet Bolivia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1,130 (39.7% / 23.6%)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1,027 (34.9% / 0.2%)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-9.1%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-4.8% 📉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-23.4%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Variación de -4.8% estipulado / -23.4% real por reclasificación de riesgo en pasarela de pago.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Camanbet Venezuela 2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681 (78.0% / 44.2%)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748 (77.7% / 27.0%)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+9.8%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-0.3% = (ESTABLE)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-17.2%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Estable en 78% (-0.3%) con switch encendido. Caída real por sensibilidad en filtros VES.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