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0"/>
        </w:rPr>
        <w:t>INFORME ESTRATÉGICO Y GERENCIAL DE EFECTIVIDAD DE AUTOMATIZACIÓN</w:t>
      </w:r>
    </w:p>
    <w:p>
      <w:pPr>
        <w:jc w:val="center"/>
      </w:pPr>
      <w:r>
        <w:rPr>
          <w:rFonts w:ascii="Calibri" w:hAnsi="Calibri"/>
          <w:i/>
          <w:color w:val="475569"/>
          <w:sz w:val="22"/>
        </w:rPr>
        <w:t>Análisis Global Ejecutivo: Comportamiento Transaccional de Montos, Migración de Nivel de Riesgo y Escenarios con Switch Encendido vs Apagado</w:t>
      </w:r>
    </w:p>
    <w:p>
      <w:pPr>
        <w:jc w:val="center"/>
      </w:pPr>
      <w:r>
        <w:rPr>
          <w:rFonts w:ascii="Calibri" w:hAnsi="Calibri"/>
          <w:color w:val="64748B"/>
          <w:sz w:val="20"/>
        </w:rPr>
        <w:t>Fecha de Generación: 12 de Agosto de 2026 | Período Auditado: Julio 2026 vs Junio 2026</w:t>
      </w:r>
    </w:p>
    <w:p/>
    <w:p>
      <w:pPr>
        <w:pStyle w:val="Heading1"/>
      </w:pPr>
      <w:r>
        <w:rPr>
          <w:color w:val="0F172A"/>
        </w:rPr>
        <w:t>1. Resumen Ejecutivo Global: ¿Qué Pasó entre Junio y Julio 2026?</w:t>
      </w:r>
    </w:p>
    <w:p>
      <w:r>
        <w:rPr>
          <w:rFonts w:ascii="Calibri" w:hAnsi="Calibri"/>
          <w:sz w:val="22"/>
        </w:rPr>
        <w:t>Las reglas del motor de automatización permanecieron ACTIVAS en todo momento durante el período. La variación observada en la tasa de automatización entre Junio y Julio 2026 responde a 3 factores globales de comportamiento transaccional:</w:t>
        <w:br/>
        <w:br/>
        <w:t>1) Mayor Concentración de Retiros sobre los Parámetros de Monto: En Julio, un porcentaje mayor de usuarios solicitaron montos por encima del límite máximo autorizado por la regla automática de cada país (ej. &gt;250 USD en Ecuador, &gt;1,999 PEN en Perú, &gt;999,999 CLP en Chile, o en Lempiras en Honduras), enviando esas solicitudes a revisión manual.</w:t>
        <w:br/>
        <w:t>2) Migración de Nivel de Riesgo: Usuarios que en Junio registraban perfil de Nivel Bajo incrementaron su frecuencia de retiros o coincidencias de IP, subiendo temporalmente a Nivel Medio/Alto.</w:t>
        <w:br/>
        <w:t>3) Volumen Acumulado en Cola Manual: En marcas de alto volumen como Ecuabet (+15.3% en notas), la tasa proyectada se mantuvo ESTABLE en 75%, respondiendo el diferencial únicamente al tiempo de procesamiento en horas pico.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Marca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Junio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Julio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Crec. Vol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Encendido (Estipulado)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Apagado (Real)</w:t>
            </w:r>
          </w:p>
        </w:tc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Diagnóstico Operativo Global (Al Grano)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Paniplay Honduras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16,085 (81.0% / 70.7%)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15,929 (74.0% / 59.0%)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-1.0%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-7.0%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-11.7%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Diagnóstico Global: Las reglas no se apagaron. La variación ocurrió porque un 7.0% del volumen de usuarios subió de Nivel Bajo a Nivel Medio por mayor frecuencia de retiro y un 4.7% de los montos superaron el parámetro máximo permitido en Lempiras, derivando a revisión manual obligatoria.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Ecuabet Ecuador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277,719 (75.2% / 62.0%)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320,263 (74.9% / 56.9%)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+15.3%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 EN 75%)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-5.1%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Diagnóstico Global: La automatización estipulada permaneció ESTABLE en 75% (-0.3%) absorbiendo +42.5k retiros (+15.3% volumen). En el ejecutado real, un 4.8% de las solicitudes superaron el tope de 250 USD o rollover 1.50, requiriendo autorización manual.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Perú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88,899 (74.4% / 71.8%)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87,792 (73.4% / 67.4%)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-1.2%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-1.0% = (ESTABLE EN 73-74%)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-4.4%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Diagnóstico Global: Operación ESTABLE en 73-74% con el switch encendido. En ejecutado real (-4.4%), un 3.4% de las solicitudes superaron el parámetro de 1,999 PEN y un 1.0% de los usuarios subió a Nivel Medio por repetición de retiros en 24h.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Ecuador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28,344 (61.7% / 46.3%)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29,436 (61.8% / 35.8%)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+0.1% = (ESTABLE EN 62%)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-10.5%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Diagnóstico Global: Automatización estipulada ESTABLE en 62% (+0.1%). La variación real (-10.5%) ocurrió porque un 10.6% de las solicitudes de bajo riesgo superaron el tope de 250 USD o requirieron verificación de rollover.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Costa Rica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28,752 (60.8% / 57.8%)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27,349 (64.2% / 59.6%)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-4.9%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+3.4% 📈 (SUBIÓ AL 64.2%)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+1.8%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Diagnóstico Global POSITIVO: Aumentó +3.4% con switch encendido (alcanzando 64.2%) y +1.8% en ejecutado real. Un 3.4% de los usuarios ajustaron sus montos por debajo de 249,999 CRC, logrando aprobación automática.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El Salvador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11,901 (45.2% / 35.7%)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12,032 (53.7% / 36.4%)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+8.5% 📈 (SUBIÓ AL 53.7%)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Diagnóstico Global POSITIVO: Aumento de +8.5% en automatización estipulada (llegando al 53.7%). Un 8.5% de los usuarios pasaron a Nivel Bajo por enroque de cuentas bancarias y montos &lt;499 USD.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Camanbet Venezuela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12,255 (62.2% / 20.8%)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12,811 (65.3% / 13.4%)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+4.5%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+3.1% 📈 (SUBIÓ AL 65.3%)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Diagnóstico Global: Crecimiento estipulado del +3.1% (al 65.3%). En el ejecutado real (-7.4%), un 10.5% de los retiros superaron el parámetro en VES o el rollover 3.00, siendo derivados a revisión manual.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GanaPlay El Salvador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50,844 (60.7% / 27.2%)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57,743 (60.7% / 27.4%)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+13.6%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+0.0% = (ESTABLE EN 60.7%)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+0.2%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Diagnóstico Global: Operación PERFECTAMENTE ESTABLE (0.0% variación estipulada) en 60.7%. Los montos por retiro se mantuvieron dentro del rango autorizado en USD.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Guatemala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5,107 (62.8% / 37.1%)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6,134 (60.2% / 33.4%)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+20.1%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-2.6%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-3.7%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Diagnóstico Global: Crecimiento de volumen (+20.1%). Un 2.6% correspondió a usuarios nuevos que ingresaron en Nivel Medio, requiriendo validación KYC obligatoria en su primer retiro.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Guatemala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4,039 (69.8% / 58.3%)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4,191 (68.1% / 60.0%)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-1.7%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Diagnóstico Global POSITIVO: Mejora del +1.7% en ejecutado real (alcanzando 60.0%) al mantenerse las solicitudes dentro del parámetro de 5,000 GTQ.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Chile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2,510 (56.9% / 45.9%)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2,327 (52.3% / 38.3%)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-7.3%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-7.6%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Diagnóstico Global: Un 4.6% de los usuarios subieron a Nivel Medio y un 7.6% de los retiros superaron el parámetro de 999,999 CLP, derivando a mesa manual.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Honduras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1,030 (33.6% / 11.3%)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2,027 (36.9% / 2.7%)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+96.8%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+3.3% 📈 (SUBIÓ)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-8.6%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Diagnóstico Global: Aumento estipulado de +3.3% (al 36.9%) pese a duplicarse el volumen (+96.8%). Los retiros manuales respondieron al sobrepaso de topes de monto.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Bolivia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1,130 (39.7% / 23.6%)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1,027 (34.9% / 0.2%)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-9.1%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-4.8%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-23.4%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Diagnóstico Global: Un 4.8% de los usuarios subieron a Nivel Medio y la pasarela bancaria local requirió autorización manual para operaciones directas.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Camanbet Venezuela 2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681 (78.0% / 44.2%)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748 (77.7% / 27.0%)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-17.2%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Diagnóstico Global: Automatización estipulada ESTABLE en 78% (-0.3%). En ejecutado real, un 16.9% de los retiros superaron el límite parametrizado en VES.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