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8BA" w:rsidP="00FB68BA" w:rsidRDefault="00FB68BA" w14:paraId="02FEFD73" w14:textId="1A86CECB">
      <w:pPr>
        <w:spacing w:line="240" w:lineRule="auto"/>
      </w:pPr>
    </w:p>
    <w:p w:rsidR="00FB68BA" w:rsidP="00FB68BA" w:rsidRDefault="00FB68BA" w14:paraId="7E52BDA6" w14:textId="08CEAFB1">
      <w:pPr>
        <w:spacing w:line="240" w:lineRule="auto"/>
      </w:pPr>
      <w:r w:rsidRPr="00FB68BA">
        <w:rPr>
          <w:b/>
          <w:bCs/>
        </w:rPr>
        <w:t>MINT – warum das Thema so zentral ist?</w:t>
      </w:r>
    </w:p>
    <w:p w:rsidR="00FB68BA" w:rsidP="00FB68BA" w:rsidRDefault="00FB68BA" w14:paraId="57555F6C" w14:textId="77777777">
      <w:pPr>
        <w:spacing w:line="240" w:lineRule="auto"/>
      </w:pPr>
      <w:r>
        <w:t>Die OECD betont, dass MINT-Kompetenzen entscheidend dafür sind, wie gut Gesellschaften mit Zukunftsfragen umgehen können – etwa Digitalisierung, technologische Innovation oder Klimawandel.</w:t>
      </w:r>
    </w:p>
    <w:p w:rsidR="00FB68BA" w:rsidP="00FB68BA" w:rsidRDefault="00FB68BA" w14:paraId="013A86D5" w14:textId="77777777">
      <w:pPr>
        <w:spacing w:line="240" w:lineRule="auto"/>
      </w:pPr>
      <w:r>
        <w:t>Dabei geht es nicht nur um Fachwissen, sondern um Problemlösen, logisches Denken und kritisches Urteilen. Länder mit starken MINT-Kompetenzen sind wirtschaftlich stabiler und besser auf Veränderungen vorbereitet.</w:t>
      </w:r>
    </w:p>
    <w:p w:rsidRPr="00FB68BA" w:rsidR="00FB68BA" w:rsidP="00FB68BA" w:rsidRDefault="00FB68BA" w14:paraId="40229A72" w14:textId="77777777">
      <w:pPr>
        <w:spacing w:line="240" w:lineRule="auto"/>
        <w:ind w:left="708"/>
        <w:rPr>
          <w:b/>
          <w:bCs/>
        </w:rPr>
      </w:pPr>
      <w:r w:rsidRPr="00FB68BA">
        <w:rPr>
          <w:rFonts w:ascii="Segoe UI Emoji" w:hAnsi="Segoe UI Emoji" w:cs="Segoe UI Emoji"/>
          <w:b/>
          <w:bCs/>
        </w:rPr>
        <w:t>👉</w:t>
      </w:r>
      <w:r w:rsidRPr="00FB68BA">
        <w:rPr>
          <w:b/>
          <w:bCs/>
        </w:rPr>
        <w:t xml:space="preserve"> Warum wichtig?</w:t>
      </w:r>
    </w:p>
    <w:p w:rsidR="00FB68BA" w:rsidP="00FB68BA" w:rsidRDefault="00FB68BA" w14:paraId="35193798" w14:textId="4D19406F">
      <w:pPr>
        <w:spacing w:line="240" w:lineRule="auto"/>
        <w:ind w:left="708"/>
      </w:pPr>
      <w:r>
        <w:t>MINT ist keine Spezialausbildung für wenige, sondern eine Schlüsselressource für die Zukunftsfähigkeit eines Landes.</w:t>
      </w:r>
    </w:p>
    <w:p w:rsidR="00FB68BA" w:rsidP="00FB68BA" w:rsidRDefault="00FB68BA" w14:paraId="2376946B" w14:textId="77777777">
      <w:pPr>
        <w:pStyle w:val="Listenabsatz"/>
        <w:numPr>
          <w:ilvl w:val="0"/>
          <w:numId w:val="1"/>
        </w:numPr>
        <w:spacing w:line="240" w:lineRule="auto"/>
        <w:ind w:left="1428"/>
      </w:pPr>
      <w:r>
        <w:t>Frühe MINT-Bildung fördert Chancengerechtigkeit</w:t>
      </w:r>
    </w:p>
    <w:p w:rsidR="00FB68BA" w:rsidP="00FB68BA" w:rsidRDefault="00FB68BA" w14:paraId="5F0FAC4E" w14:textId="6E2C60F3">
      <w:pPr>
        <w:pStyle w:val="Listenabsatz"/>
        <w:numPr>
          <w:ilvl w:val="0"/>
          <w:numId w:val="1"/>
        </w:numPr>
        <w:spacing w:line="240" w:lineRule="auto"/>
        <w:ind w:left="1428"/>
      </w:pPr>
      <w:r>
        <w:t>MINT-Fächer gestalten die Zukunft</w:t>
      </w:r>
    </w:p>
    <w:p w:rsidR="00FB68BA" w:rsidP="00FB68BA" w:rsidRDefault="00FB68BA" w14:paraId="17288A51" w14:textId="77777777">
      <w:pPr>
        <w:spacing w:line="240" w:lineRule="auto"/>
      </w:pPr>
    </w:p>
    <w:p w:rsidR="00FB68BA" w:rsidP="00FB68BA" w:rsidRDefault="00FB68BA" w14:paraId="094EF6CF" w14:textId="77777777">
      <w:pPr>
        <w:spacing w:line="240" w:lineRule="auto"/>
      </w:pPr>
      <w:r>
        <w:t>Studien zeigen, dass Leistungs- und Kompetenzunterschiede sehr früh entstehen. Kinder starten mit unterschiedlichen Voraussetzungen – abhängig von sozialem Umfeld, Sprache und Unterstützung.</w:t>
      </w:r>
    </w:p>
    <w:p w:rsidR="00FB68BA" w:rsidP="00FB68BA" w:rsidRDefault="00FB68BA" w14:paraId="1A3DF04F" w14:textId="245B34ED">
      <w:pPr>
        <w:spacing w:line="240" w:lineRule="auto"/>
      </w:pPr>
      <w:r>
        <w:t>Frühe MINT-Bildung kann diese Unterschiede abfedern, besonders für Kinder aus sozio-ökonomisch schwächeren Familien.</w:t>
      </w:r>
    </w:p>
    <w:p w:rsidR="00FB68BA" w:rsidP="00FB68BA" w:rsidRDefault="00FB68BA" w14:paraId="5538CA6F" w14:textId="77777777">
      <w:pPr>
        <w:spacing w:line="240" w:lineRule="auto"/>
        <w:ind w:left="708"/>
      </w:pPr>
      <w:r>
        <w:rPr>
          <w:rFonts w:ascii="Segoe UI Emoji" w:hAnsi="Segoe UI Emoji" w:cs="Segoe UI Emoji"/>
        </w:rPr>
        <w:t>👉</w:t>
      </w:r>
      <w:r>
        <w:t xml:space="preserve"> </w:t>
      </w:r>
      <w:r w:rsidRPr="00FB68BA">
        <w:rPr>
          <w:b/>
          <w:bCs/>
        </w:rPr>
        <w:t>Warum wichtig?</w:t>
      </w:r>
    </w:p>
    <w:p w:rsidR="00FB68BA" w:rsidP="00FB68BA" w:rsidRDefault="00FB68BA" w14:paraId="7EBAE5F4" w14:textId="77777777">
      <w:pPr>
        <w:pStyle w:val="Listenabsatz"/>
        <w:numPr>
          <w:ilvl w:val="0"/>
          <w:numId w:val="1"/>
        </w:numPr>
        <w:spacing w:line="240" w:lineRule="auto"/>
        <w:ind w:left="1080"/>
      </w:pPr>
      <w:r>
        <w:t>Chancengerechtigkeit beginnt nicht in der Oberstufe, sondern im Kindergarten und in der Volksschule.</w:t>
      </w:r>
    </w:p>
    <w:p w:rsidR="00FB68BA" w:rsidP="00FB68BA" w:rsidRDefault="00FB68BA" w14:paraId="6314B57A" w14:textId="77777777">
      <w:pPr>
        <w:spacing w:line="240" w:lineRule="auto"/>
      </w:pPr>
    </w:p>
    <w:p w:rsidR="00FB68BA" w:rsidP="00FB68BA" w:rsidRDefault="00FB68BA" w14:paraId="52169926" w14:textId="4AF2B2D9">
      <w:pPr>
        <w:spacing w:line="240" w:lineRule="auto"/>
      </w:pPr>
      <w:r>
        <w:t>Pahnke &amp; Rösner (2012) zeigen, dass Interesse an MINT-Berufen nicht spontan im Jugendalter entsteht. Entscheidend sind frühe Erfahrungen, Erfolgserlebnisse und ein handlungsorientierter Unterricht.</w:t>
      </w:r>
    </w:p>
    <w:p w:rsidR="00FB68BA" w:rsidP="00FB68BA" w:rsidRDefault="00FB68BA" w14:paraId="47FE22AB" w14:textId="77777777">
      <w:pPr>
        <w:pStyle w:val="Listenabsatz"/>
        <w:numPr>
          <w:ilvl w:val="1"/>
          <w:numId w:val="1"/>
        </w:numPr>
        <w:spacing w:line="240" w:lineRule="auto"/>
        <w:ind w:left="1356"/>
      </w:pPr>
      <w:r>
        <w:t>Kinder entwickeln früh ein Gefühl dafür, ob MINT „zu ihnen passt“.</w:t>
      </w:r>
    </w:p>
    <w:p w:rsidRPr="00FB68BA" w:rsidR="00FB68BA" w:rsidP="00FB68BA" w:rsidRDefault="00FB68BA" w14:paraId="2FFE2A79" w14:textId="77777777">
      <w:pPr>
        <w:spacing w:line="240" w:lineRule="auto"/>
        <w:ind w:left="984"/>
        <w:rPr>
          <w:b/>
          <w:bCs/>
        </w:rPr>
      </w:pPr>
      <w:r w:rsidRPr="00FB68BA">
        <w:rPr>
          <w:rFonts w:ascii="Segoe UI Emoji" w:hAnsi="Segoe UI Emoji" w:cs="Segoe UI Emoji"/>
          <w:b/>
          <w:bCs/>
        </w:rPr>
        <w:t>👉</w:t>
      </w:r>
      <w:r w:rsidRPr="00FB68BA">
        <w:rPr>
          <w:b/>
          <w:bCs/>
        </w:rPr>
        <w:t xml:space="preserve"> Warum wichtig?</w:t>
      </w:r>
    </w:p>
    <w:p w:rsidR="00FB68BA" w:rsidP="00FB68BA" w:rsidRDefault="00FB68BA" w14:paraId="38060F5E" w14:textId="7126D7F7">
      <w:pPr>
        <w:pStyle w:val="Listenabsatz"/>
        <w:numPr>
          <w:ilvl w:val="0"/>
          <w:numId w:val="1"/>
        </w:numPr>
        <w:spacing w:line="240" w:lineRule="auto"/>
        <w:ind w:left="1344"/>
      </w:pPr>
      <w:r>
        <w:t>Die spätere Berufswahl ist oft nur die letzte Stufe eines langen Entwicklungsprozesses</w:t>
      </w:r>
    </w:p>
    <w:p w:rsidR="00FB68BA" w:rsidP="00FB68BA" w:rsidRDefault="00FB68BA" w14:paraId="55BFABE1" w14:textId="77777777">
      <w:pPr>
        <w:spacing w:line="240" w:lineRule="auto"/>
      </w:pPr>
    </w:p>
    <w:p w:rsidR="00FB68BA" w:rsidRDefault="00FB68BA" w14:paraId="506848EC" w14:textId="77777777">
      <w:r>
        <w:br w:type="page"/>
      </w:r>
    </w:p>
    <w:p w:rsidR="00FB68BA" w:rsidP="00FB68BA" w:rsidRDefault="00FB68BA" w14:paraId="209BCE15" w14:textId="1DF4B8F5">
      <w:pPr>
        <w:spacing w:line="240" w:lineRule="auto"/>
      </w:pPr>
      <w:r>
        <w:t xml:space="preserve">Breda &amp; </w:t>
      </w:r>
      <w:proofErr w:type="spellStart"/>
      <w:r>
        <w:t>Hillion</w:t>
      </w:r>
      <w:proofErr w:type="spellEnd"/>
      <w:r>
        <w:t xml:space="preserve"> (2016) haben einen weit verbreiteten Mythos widerlegt, dass Frauen in MINT schlechter bewertet oder grundsätzlich benachteiligt werden.</w:t>
      </w:r>
    </w:p>
    <w:p w:rsidR="00FB68BA" w:rsidP="00FB68BA" w:rsidRDefault="00FB68BA" w14:paraId="1DAFCDC4" w14:textId="316978BE">
      <w:pPr>
        <w:spacing w:line="240" w:lineRule="auto"/>
      </w:pPr>
      <w:r>
        <w:t>In anonymisierten Prüfungen gibt es kaum Leistungsunterschiede, und in Auswahlverfahren werden Frauen in männlich dominierten Fächern nicht benachteiligt.</w:t>
      </w:r>
    </w:p>
    <w:p w:rsidRPr="00FB68BA" w:rsidR="00FB68BA" w:rsidP="00FB68BA" w:rsidRDefault="00FB68BA" w14:paraId="7C75A7C6" w14:textId="77777777">
      <w:pPr>
        <w:spacing w:line="240" w:lineRule="auto"/>
        <w:ind w:left="708"/>
        <w:rPr>
          <w:b/>
          <w:bCs/>
        </w:rPr>
      </w:pPr>
      <w:r w:rsidRPr="00FB68BA">
        <w:rPr>
          <w:rFonts w:ascii="Segoe UI Emoji" w:hAnsi="Segoe UI Emoji" w:cs="Segoe UI Emoji"/>
          <w:b/>
          <w:bCs/>
        </w:rPr>
        <w:t>👉</w:t>
      </w:r>
      <w:r w:rsidRPr="00FB68BA">
        <w:rPr>
          <w:b/>
          <w:bCs/>
        </w:rPr>
        <w:t xml:space="preserve"> Zentrale Erkenntnis:</w:t>
      </w:r>
    </w:p>
    <w:p w:rsidR="00FB68BA" w:rsidP="00FB68BA" w:rsidRDefault="00FB68BA" w14:paraId="48B25363" w14:textId="1A9AAA82">
      <w:pPr>
        <w:spacing w:line="240" w:lineRule="auto"/>
        <w:ind w:left="708"/>
      </w:pPr>
      <w:r>
        <w:t>Der Gender-Gap entsteht nicht durch mangelnde Fähigkeit, sondern durch frühe Selektion – viele Mädchen entscheiden sich früh gegen MINT.</w:t>
      </w:r>
    </w:p>
    <w:p w:rsidR="00FB68BA" w:rsidP="00FB68BA" w:rsidRDefault="00FB68BA" w14:paraId="7C35CB90" w14:textId="77777777">
      <w:pPr>
        <w:spacing w:line="240" w:lineRule="auto"/>
      </w:pPr>
    </w:p>
    <w:p w:rsidRPr="00FB68BA" w:rsidR="00FB68BA" w:rsidP="00FB68BA" w:rsidRDefault="00FB68BA" w14:paraId="60375D87" w14:textId="60A78674">
      <w:pPr>
        <w:spacing w:line="240" w:lineRule="auto"/>
        <w:rPr>
          <w:b/>
          <w:bCs/>
        </w:rPr>
      </w:pPr>
      <w:r w:rsidRPr="00FB68BA">
        <w:rPr>
          <w:b/>
          <w:bCs/>
        </w:rPr>
        <w:t>Bedeutung für die kindliche Entwicklung</w:t>
      </w:r>
    </w:p>
    <w:p w:rsidR="00FB68BA" w:rsidP="00FB68BA" w:rsidRDefault="00FB68BA" w14:paraId="470BE5C0" w14:textId="1EF2B8C8">
      <w:pPr>
        <w:spacing w:line="240" w:lineRule="auto"/>
      </w:pPr>
      <w:r>
        <w:t>Köller et al. 2019 zeigen, dass Unterschiede in MINT nicht primär leistungsbedingt sind. Entscheidend sind Selbstkonzept, Motivation und Lernumwelt.</w:t>
      </w:r>
    </w:p>
    <w:p w:rsidR="00FB68BA" w:rsidP="00FB68BA" w:rsidRDefault="00FB68BA" w14:paraId="2E79CB32" w14:textId="77777777">
      <w:pPr>
        <w:spacing w:line="240" w:lineRule="auto"/>
      </w:pPr>
      <w:r>
        <w:t>Mädchen und Buben unterscheiden sich früh darin, wie sehr sie sich MINT zutrauen – beeinflusst durch Feedback, Erwartungen und gesellschaftliche Stereotype.</w:t>
      </w:r>
    </w:p>
    <w:p w:rsidR="00FB68BA" w:rsidP="00FB68BA" w:rsidRDefault="00FB68BA" w14:paraId="11750BD8" w14:textId="77777777">
      <w:pPr>
        <w:spacing w:line="240" w:lineRule="auto"/>
      </w:pPr>
    </w:p>
    <w:p w:rsidR="00FB68BA" w:rsidP="00FB68BA" w:rsidRDefault="00FB68BA" w14:paraId="1EDF0688" w14:textId="77777777">
      <w:pPr>
        <w:spacing w:line="240" w:lineRule="auto"/>
        <w:ind w:left="708"/>
        <w:rPr>
          <w:b/>
          <w:bCs/>
        </w:rPr>
      </w:pPr>
      <w:r w:rsidRPr="00FB68BA">
        <w:rPr>
          <w:rFonts w:ascii="Segoe UI Emoji" w:hAnsi="Segoe UI Emoji" w:cs="Segoe UI Emoji"/>
          <w:b/>
          <w:bCs/>
        </w:rPr>
        <w:t>👉</w:t>
      </w:r>
      <w:r w:rsidRPr="00FB68BA">
        <w:rPr>
          <w:b/>
          <w:bCs/>
        </w:rPr>
        <w:t xml:space="preserve"> Warum zentral?</w:t>
      </w:r>
    </w:p>
    <w:p w:rsidRPr="00FB68BA" w:rsidR="00FB68BA" w:rsidP="00FB68BA" w:rsidRDefault="00FB68BA" w14:paraId="7C82B7F2" w14:textId="341B858B">
      <w:pPr>
        <w:pStyle w:val="Listenabsatz"/>
        <w:numPr>
          <w:ilvl w:val="0"/>
          <w:numId w:val="1"/>
        </w:numPr>
        <w:spacing w:line="240" w:lineRule="auto"/>
        <w:ind w:left="1068"/>
        <w:rPr>
          <w:b/>
          <w:bCs/>
        </w:rPr>
      </w:pPr>
      <w:r>
        <w:t>Nicht Begabung entscheidet über MINT-Bildungswege, sondern frühe Erfahrungen und Selbstvertrauen.</w:t>
      </w:r>
    </w:p>
    <w:p w:rsidR="00FB68BA" w:rsidP="00FB68BA" w:rsidRDefault="00FB68BA" w14:paraId="3DD7C868" w14:textId="77777777">
      <w:pPr>
        <w:spacing w:line="240" w:lineRule="auto"/>
      </w:pPr>
    </w:p>
    <w:p w:rsidR="00FB68BA" w:rsidP="00FB68BA" w:rsidRDefault="00FB68BA" w14:paraId="43D2EBBE" w14:textId="0585BC03">
      <w:pPr>
        <w:spacing w:line="240" w:lineRule="auto"/>
      </w:pPr>
      <w:r w:rsidRPr="00FB68BA">
        <w:rPr>
          <w:b/>
          <w:bCs/>
        </w:rPr>
        <w:t>Resümee</w:t>
      </w:r>
    </w:p>
    <w:p w:rsidR="00FB68BA" w:rsidP="00FB68BA" w:rsidRDefault="00FB68BA" w14:paraId="0DAAAA39" w14:textId="0899A153">
      <w:pPr>
        <w:spacing w:line="240" w:lineRule="auto"/>
      </w:pPr>
      <w:r>
        <w:t>MINT-Kompetenzen sind entscheidend für individuelle Chancen, Bildungsbiografien und gesellschaftliche Zukunft.</w:t>
      </w:r>
    </w:p>
    <w:p w:rsidR="00FB68BA" w:rsidP="00FB68BA" w:rsidRDefault="00FB68BA" w14:paraId="67510A25" w14:textId="77777777">
      <w:pPr>
        <w:spacing w:line="240" w:lineRule="auto"/>
      </w:pPr>
      <w:r>
        <w:t>Studien zeigen, dass Bildungs- und Berufswege früh geprägt werden – lange bevor formale Entscheidungen getroffen werden.</w:t>
      </w:r>
    </w:p>
    <w:p w:rsidR="00355DA6" w:rsidP="00FB68BA" w:rsidRDefault="00FB68BA" w14:paraId="1374560A" w14:textId="346A8CBE">
      <w:pPr>
        <w:spacing w:line="240" w:lineRule="auto"/>
      </w:pPr>
      <w:r>
        <w:t>Wer frühe MINT-Bildung stärkt, fördert Chancengerechtigkeit, reduziert den Gender-Gap und nutzt vorhandenes Potenzial besser.</w:t>
      </w:r>
    </w:p>
    <w:p w:rsidR="00355DA6" w:rsidRDefault="00355DA6" w14:paraId="76A62F59" w14:textId="77777777">
      <w:r>
        <w:br w:type="page"/>
      </w:r>
    </w:p>
    <w:p w:rsidRPr="00355DA6" w:rsidR="005375C5" w:rsidP="00FB68BA" w:rsidRDefault="00355DA6" w14:paraId="2990D5E5" w14:textId="6F5E44C6">
      <w:pPr>
        <w:spacing w:line="240" w:lineRule="auto"/>
        <w:rPr>
          <w:b/>
          <w:bCs/>
        </w:rPr>
      </w:pPr>
      <w:r w:rsidRPr="00355DA6">
        <w:rPr>
          <w:b/>
          <w:bCs/>
        </w:rPr>
        <w:t>Quellenverzeichnis</w:t>
      </w:r>
    </w:p>
    <w:p w:rsidRPr="00355DA6" w:rsidR="00355DA6" w:rsidP="00355DA6" w:rsidRDefault="00355DA6" w14:paraId="17F613F2" w14:textId="77777777">
      <w:pPr>
        <w:spacing w:line="240" w:lineRule="auto"/>
      </w:pPr>
      <w:r w:rsidRPr="00355DA6">
        <w:t xml:space="preserve">Breda, T., &amp; </w:t>
      </w:r>
      <w:proofErr w:type="spellStart"/>
      <w:r w:rsidRPr="00355DA6">
        <w:t>Hillion</w:t>
      </w:r>
      <w:proofErr w:type="spellEnd"/>
      <w:r w:rsidRPr="00355DA6">
        <w:t xml:space="preserve">, M. (2016). </w:t>
      </w:r>
      <w:r w:rsidRPr="00355DA6">
        <w:rPr>
          <w:i/>
          <w:iCs/>
        </w:rPr>
        <w:t xml:space="preserve">Teaching </w:t>
      </w:r>
      <w:proofErr w:type="spellStart"/>
      <w:r w:rsidRPr="00355DA6">
        <w:rPr>
          <w:i/>
          <w:iCs/>
        </w:rPr>
        <w:t>evaluations</w:t>
      </w:r>
      <w:proofErr w:type="spellEnd"/>
      <w:r w:rsidRPr="00355DA6">
        <w:rPr>
          <w:i/>
          <w:iCs/>
        </w:rPr>
        <w:t xml:space="preserve">, stereotypes and </w:t>
      </w:r>
      <w:proofErr w:type="spellStart"/>
      <w:r w:rsidRPr="00355DA6">
        <w:rPr>
          <w:i/>
          <w:iCs/>
        </w:rPr>
        <w:t>gender</w:t>
      </w:r>
      <w:proofErr w:type="spellEnd"/>
      <w:r w:rsidRPr="00355DA6">
        <w:rPr>
          <w:i/>
          <w:iCs/>
        </w:rPr>
        <w:t xml:space="preserve"> </w:t>
      </w:r>
      <w:proofErr w:type="spellStart"/>
      <w:r w:rsidRPr="00355DA6">
        <w:rPr>
          <w:i/>
          <w:iCs/>
        </w:rPr>
        <w:t>bias</w:t>
      </w:r>
      <w:proofErr w:type="spellEnd"/>
      <w:r w:rsidRPr="00355DA6">
        <w:t xml:space="preserve">. </w:t>
      </w:r>
      <w:r w:rsidRPr="00355DA6">
        <w:rPr>
          <w:b/>
          <w:bCs/>
        </w:rPr>
        <w:t>Labour Economics, 40</w:t>
      </w:r>
      <w:r w:rsidRPr="00355DA6">
        <w:t>, 1–14.</w:t>
      </w:r>
      <w:r w:rsidRPr="00355DA6">
        <w:br/>
      </w:r>
      <w:r w:rsidRPr="00355DA6">
        <w:t>https://doi.org/10.1016/j.labeco.2015.11.002</w:t>
      </w:r>
    </w:p>
    <w:p w:rsidRPr="00355DA6" w:rsidR="00355DA6" w:rsidP="00355DA6" w:rsidRDefault="00355DA6" w14:paraId="5667EF2C" w14:textId="77777777">
      <w:pPr>
        <w:spacing w:line="240" w:lineRule="auto"/>
      </w:pPr>
      <w:r w:rsidRPr="00355DA6">
        <w:t xml:space="preserve">Köller, O., Baumert, J., Cortina, K. S., Trautwein, U., &amp; Watermann, R. (2019). </w:t>
      </w:r>
      <w:r w:rsidRPr="00355DA6">
        <w:rPr>
          <w:i/>
          <w:iCs/>
        </w:rPr>
        <w:t>Pädagogische Psychologie</w:t>
      </w:r>
      <w:r w:rsidRPr="00355DA6">
        <w:t xml:space="preserve"> (3. Aufl.). Springer.</w:t>
      </w:r>
      <w:r w:rsidRPr="00355DA6">
        <w:br/>
      </w:r>
      <w:r w:rsidRPr="00355DA6">
        <w:t>https://doi.org/10.1007/978-3-662-58213-2</w:t>
      </w:r>
    </w:p>
    <w:p w:rsidRPr="00355DA6" w:rsidR="00355DA6" w:rsidP="00355DA6" w:rsidRDefault="00355DA6" w14:paraId="6C4F5707" w14:textId="77777777">
      <w:pPr>
        <w:spacing w:line="240" w:lineRule="auto"/>
      </w:pPr>
      <w:r w:rsidRPr="00355DA6">
        <w:t xml:space="preserve">OECD. (2020). </w:t>
      </w:r>
      <w:r w:rsidRPr="00355DA6">
        <w:rPr>
          <w:i/>
          <w:iCs/>
        </w:rPr>
        <w:t xml:space="preserve">Education in </w:t>
      </w:r>
      <w:proofErr w:type="spellStart"/>
      <w:r w:rsidRPr="00355DA6">
        <w:rPr>
          <w:i/>
          <w:iCs/>
        </w:rPr>
        <w:t>the</w:t>
      </w:r>
      <w:proofErr w:type="spellEnd"/>
      <w:r w:rsidRPr="00355DA6">
        <w:rPr>
          <w:i/>
          <w:iCs/>
        </w:rPr>
        <w:t xml:space="preserve"> digital </w:t>
      </w:r>
      <w:proofErr w:type="spellStart"/>
      <w:r w:rsidRPr="00355DA6">
        <w:rPr>
          <w:i/>
          <w:iCs/>
        </w:rPr>
        <w:t>age</w:t>
      </w:r>
      <w:proofErr w:type="spellEnd"/>
      <w:r w:rsidRPr="00355DA6">
        <w:rPr>
          <w:i/>
          <w:iCs/>
        </w:rPr>
        <w:t xml:space="preserve">: </w:t>
      </w:r>
      <w:proofErr w:type="spellStart"/>
      <w:r w:rsidRPr="00355DA6">
        <w:rPr>
          <w:i/>
          <w:iCs/>
        </w:rPr>
        <w:t>Healthy</w:t>
      </w:r>
      <w:proofErr w:type="spellEnd"/>
      <w:r w:rsidRPr="00355DA6">
        <w:rPr>
          <w:i/>
          <w:iCs/>
        </w:rPr>
        <w:t xml:space="preserve"> and happy </w:t>
      </w:r>
      <w:proofErr w:type="spellStart"/>
      <w:r w:rsidRPr="00355DA6">
        <w:rPr>
          <w:i/>
          <w:iCs/>
        </w:rPr>
        <w:t>children</w:t>
      </w:r>
      <w:proofErr w:type="spellEnd"/>
      <w:r w:rsidRPr="00355DA6">
        <w:t xml:space="preserve">. </w:t>
      </w:r>
      <w:proofErr w:type="gramStart"/>
      <w:r w:rsidRPr="00355DA6">
        <w:t>OECD Publishing</w:t>
      </w:r>
      <w:proofErr w:type="gramEnd"/>
      <w:r w:rsidRPr="00355DA6">
        <w:t>.</w:t>
      </w:r>
      <w:r w:rsidRPr="00355DA6">
        <w:br/>
      </w:r>
      <w:r w:rsidRPr="00355DA6">
        <w:t>https://doi.org/10.1787/1209166a-en</w:t>
      </w:r>
    </w:p>
    <w:p w:rsidRPr="00355DA6" w:rsidR="00355DA6" w:rsidP="00355DA6" w:rsidRDefault="00355DA6" w14:paraId="3ACAA4E6" w14:textId="77777777">
      <w:pPr>
        <w:spacing w:line="240" w:lineRule="auto"/>
      </w:pPr>
      <w:r w:rsidRPr="00355DA6">
        <w:t xml:space="preserve">Pahnke, J., &amp; Rösner, E. (2012). </w:t>
      </w:r>
      <w:r w:rsidRPr="00355DA6">
        <w:rPr>
          <w:i/>
          <w:iCs/>
        </w:rPr>
        <w:t>Interesse an MINT-Berufen – Entstehung, Entwicklung und Förderung</w:t>
      </w:r>
      <w:r w:rsidRPr="00355DA6">
        <w:t xml:space="preserve">. In M. Prenzel, C. Rönnebeck &amp; J. Baumert (Hrsg.), </w:t>
      </w:r>
      <w:r w:rsidRPr="00355DA6">
        <w:rPr>
          <w:b/>
          <w:bCs/>
        </w:rPr>
        <w:t>Bildungsforschung</w:t>
      </w:r>
      <w:r w:rsidRPr="00355DA6">
        <w:t xml:space="preserve"> (S. xx–xx). Springer.</w:t>
      </w:r>
    </w:p>
    <w:p w:rsidR="00355DA6" w:rsidP="00FB68BA" w:rsidRDefault="00355DA6" w14:paraId="0FCE3E17" w14:textId="77777777">
      <w:pPr>
        <w:spacing w:line="240" w:lineRule="auto"/>
      </w:pPr>
    </w:p>
    <w:sectPr w:rsidR="00355DA6">
      <w:headerReference w:type="default" r:id="rId7"/>
      <w:pgSz w:w="11906" w:h="16838" w:orient="portrait"/>
      <w:pgMar w:top="1417" w:right="1417" w:bottom="1134" w:left="1417" w:header="708" w:footer="708" w:gutter="0"/>
      <w:cols w:space="708"/>
      <w:docGrid w:linePitch="360"/>
      <w:footerReference w:type="default" r:id="R4b3a63552a8348b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DE1" w:rsidP="00AB55F2" w:rsidRDefault="00172DE1" w14:paraId="28968916" w14:textId="77777777">
      <w:pPr>
        <w:spacing w:after="0" w:line="240" w:lineRule="auto"/>
      </w:pPr>
      <w:r>
        <w:separator/>
      </w:r>
    </w:p>
  </w:endnote>
  <w:endnote w:type="continuationSeparator" w:id="0">
    <w:p w:rsidR="00172DE1" w:rsidP="00AB55F2" w:rsidRDefault="00172DE1" w14:paraId="09D9AD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139E6" w:rsidTr="1FB139E6" w14:paraId="5D9FD9D0">
      <w:trPr>
        <w:trHeight w:val="300"/>
      </w:trPr>
      <w:tc>
        <w:tcPr>
          <w:tcW w:w="3020" w:type="dxa"/>
          <w:tcMar/>
        </w:tcPr>
        <w:p w:rsidR="1FB139E6" w:rsidP="1FB139E6" w:rsidRDefault="1FB139E6" w14:paraId="59143ACA" w14:textId="0AD9AE1D">
          <w:pPr>
            <w:pStyle w:val="Kopfzeile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FB139E6" w:rsidP="1FB139E6" w:rsidRDefault="1FB139E6" w14:paraId="0A0136E6" w14:textId="208852B2">
          <w:pPr>
            <w:pStyle w:val="Kopfzeile"/>
            <w:bidi w:val="0"/>
            <w:jc w:val="center"/>
          </w:pPr>
        </w:p>
      </w:tc>
      <w:tc>
        <w:tcPr>
          <w:tcW w:w="3020" w:type="dxa"/>
          <w:tcMar/>
        </w:tcPr>
        <w:p w:rsidR="1FB139E6" w:rsidP="1FB139E6" w:rsidRDefault="1FB139E6" w14:paraId="601EA14C" w14:textId="22BE8850">
          <w:pPr>
            <w:pStyle w:val="Kopfzeile"/>
            <w:bidi w:val="0"/>
            <w:ind w:right="-115"/>
            <w:jc w:val="right"/>
          </w:pPr>
        </w:p>
      </w:tc>
    </w:tr>
  </w:tbl>
  <w:p w:rsidR="1FB139E6" w:rsidP="1FB139E6" w:rsidRDefault="1FB139E6" w14:paraId="2511DC5B" w14:textId="0E2A3C04">
    <w:pPr>
      <w:pStyle w:val="Fuzeil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DE1" w:rsidP="00AB55F2" w:rsidRDefault="00172DE1" w14:paraId="5BF75F5B" w14:textId="77777777">
      <w:pPr>
        <w:spacing w:after="0" w:line="240" w:lineRule="auto"/>
      </w:pPr>
      <w:r>
        <w:separator/>
      </w:r>
    </w:p>
  </w:footnote>
  <w:footnote w:type="continuationSeparator" w:id="0">
    <w:p w:rsidR="00172DE1" w:rsidP="00AB55F2" w:rsidRDefault="00172DE1" w14:paraId="1A5943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5F2" w:rsidRDefault="00AB55F2" w14:paraId="16F13C94" w14:textId="3817D397">
    <w:pPr>
      <w:pStyle w:val="Kopfzeile"/>
    </w:pPr>
    <w:r w:rsidR="1FB139E6">
      <w:rPr/>
      <w:t>Bedeutung früher MINT-Bildung</w:t>
    </w:r>
    <w:r>
      <w:tab/>
    </w:r>
    <w:r w:rsidR="1FB139E6">
      <w:rPr/>
      <w:t xml:space="preserve">                                                            B.A. Thomas Bernhardt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E5215"/>
    <w:multiLevelType w:val="hybridMultilevel"/>
    <w:tmpl w:val="89B0A88E"/>
    <w:lvl w:ilvl="0" w:tplc="0C07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7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57510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BA"/>
    <w:rsid w:val="000F5B22"/>
    <w:rsid w:val="00172DE1"/>
    <w:rsid w:val="00345F7D"/>
    <w:rsid w:val="00355DA6"/>
    <w:rsid w:val="005375C5"/>
    <w:rsid w:val="00AB55F2"/>
    <w:rsid w:val="00F84766"/>
    <w:rsid w:val="00FB68BA"/>
    <w:rsid w:val="00FE7C90"/>
    <w:rsid w:val="1FB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C1869"/>
  <w15:chartTrackingRefBased/>
  <w15:docId w15:val="{0FF784AE-6A3C-4A4B-A99B-806C98ABFD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68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68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FB68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FB68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FB68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B68BA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B68BA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B68BA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B68BA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B68BA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B68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68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FB68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B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68BA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FB68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68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68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68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B68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68B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B55F2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AB55F2"/>
  </w:style>
  <w:style w:type="paragraph" w:styleId="Fuzeile">
    <w:name w:val="footer"/>
    <w:basedOn w:val="Standard"/>
    <w:link w:val="FuzeileZchn"/>
    <w:uiPriority w:val="99"/>
    <w:unhideWhenUsed/>
    <w:rsid w:val="00AB55F2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AB55F2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4b3a63552a8348ba" Type="http://schemas.openxmlformats.org/officeDocument/2006/relationships/footer" Target="footer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FB8F0D875A0C4DA6F416AD68CC1399" ma:contentTypeVersion="12" ma:contentTypeDescription="Create a new document." ma:contentTypeScope="" ma:versionID="b1a5ca5ca2dbe0a31811e3f4cfc22089">
  <xsd:schema xmlns:xsd="http://www.w3.org/2001/XMLSchema" xmlns:xs="http://www.w3.org/2001/XMLSchema" xmlns:p="http://schemas.microsoft.com/office/2006/metadata/properties" xmlns:ns2="7aa84113-42c2-4c6a-8002-8e4423a0f3f0" xmlns:ns3="a3b97adf-63b4-4815-978f-038988d1e0af" targetNamespace="http://schemas.microsoft.com/office/2006/metadata/properties" ma:root="true" ma:fieldsID="6298dced7c501b90e3f7e991e6ac33ff" ns2:_="" ns3:_="">
    <xsd:import namespace="7aa84113-42c2-4c6a-8002-8e4423a0f3f0"/>
    <xsd:import namespace="a3b97adf-63b4-4815-978f-038988d1e0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84113-42c2-4c6a-8002-8e4423a0f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97adf-63b4-4815-978f-038988d1e0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3228fb-3598-4172-a0ea-68e1d721272d}" ma:internalName="TaxCatchAll" ma:showField="CatchAllData" ma:web="a3b97adf-63b4-4815-978f-038988d1e0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97adf-63b4-4815-978f-038988d1e0af" xsi:nil="true"/>
    <lcf76f155ced4ddcb4097134ff3c332f xmlns="7aa84113-42c2-4c6a-8002-8e4423a0f3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C69B94-349D-462F-821E-669054775256}"/>
</file>

<file path=customXml/itemProps2.xml><?xml version="1.0" encoding="utf-8"?>
<ds:datastoreItem xmlns:ds="http://schemas.openxmlformats.org/officeDocument/2006/customXml" ds:itemID="{102F60D4-A89E-4222-A30E-B7A96F9530B6}"/>
</file>

<file path=customXml/itemProps3.xml><?xml version="1.0" encoding="utf-8"?>
<ds:datastoreItem xmlns:ds="http://schemas.openxmlformats.org/officeDocument/2006/customXml" ds:itemID="{B70E6963-21BE-4391-A254-13C2C5D3DA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Bernhardt</dc:creator>
  <cp:keywords/>
  <dc:description/>
  <cp:lastModifiedBy>Thomas Bernhardt</cp:lastModifiedBy>
  <cp:revision>4</cp:revision>
  <dcterms:created xsi:type="dcterms:W3CDTF">2026-01-07T19:41:00Z</dcterms:created>
  <dcterms:modified xsi:type="dcterms:W3CDTF">2026-01-08T10:46:30Z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0x01010090FB8F0D875A0C4DA6F416AD68CC1399</vt:lpwstr>
  </property>
  <property fmtid="{D5CDD505-2E9C-101B-9397-08002B2CF9AE}" pid="3" name="Order">
    <vt:r8>256400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