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Document covering the problem statement, methodology, advantages, applications, limitations/examples, working algorithm, diagram, and conclusion based on the provided code, we'll structure it as follows: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## Problem Statement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 aim to implement the k-means clustering algorithm to partition a given set of points into two clusters.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## Packages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`numpy` for numerical computing.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## Methodology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 Initialize centroids.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Define a function to calculate Euclidean distance.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Perform k-means clustering iteratively: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Assign points to clusters based on the closest centroid.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Update centroids by calculating the mean of points in each cluster.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 Answer specific questions based on the clustering results.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## Advantages and Applications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**Advantages**: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- Simple and computationally efficient.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- Scales well to large datasets.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- Easy to interpret and implement.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**Applications**: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- Customer segmentation.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- Image compression.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- Anomaly detection.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- Recommendation systems.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## Limitations/Examples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**Limitations**: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- Sensitivity to initial centroids.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- Assumes spherical clusters.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- May converge to local optima.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**Examples**: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- Unevenly distributed clusters.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- Non-linearly separable data.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## Working/Algorithm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1. Initialize centroids `m1` and `m2`.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2. Calculate Euclidean distance for each point from centroids.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3. Assign points to the cluster with the closest centroid.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4. Update centroids based on the mean of points in each cluster.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5. Repeat steps 2-4 until convergence or a specified number of iterations.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## Conclusion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We successfully implemented the k-means clustering algorithm.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It effectively clustered the given set of points into two distinct groups.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We answered specific questions regarding cluster membership, population, and centroid updates.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You can insert the provided code snippets within the appropriate sections of the document. Additionally, create a diagram illustrating the k-means clustering process and its results. This document provides a comprehensive overview of the implementation, along with insights into its usage and limitations.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