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0D3B6E"/>
          <w:sz w:val="56"/>
          <w:szCs w:val="56"/>
        </w:rPr>
        <w:t xml:space="preserve">BIO-KIDNEY AI 2026</w:t>
      </w:r>
    </w:p>
    <w:p>
      <w:pPr>
        <w:pBdr>
          <w:bottom w:val="single" w:color="148F77" w:sz="10" w:space="8"/>
        </w:pBdr>
        <w:spacing w:before="0" w:after="40"/>
        <w:jc w:val="center"/>
      </w:pPr>
      <w:r>
        <w:rPr>
          <w:rFonts w:ascii="Arial" w:cs="Arial" w:eastAsia="Arial" w:hAnsi="Arial"/>
          <w:i/>
          <w:iCs/>
          <w:color w:val="148F77"/>
          <w:sz w:val="26"/>
          <w:szCs w:val="26"/>
        </w:rPr>
        <w:t xml:space="preserve">Protocolo de Bioimpresión Renal con iPSCs, Co-SWIFT, dECM e IA Agéntica</w:t>
      </w:r>
    </w:p>
    <w:p>
      <w:pPr>
        <w:spacing w:before="200" w:after="0"/>
      </w:pPr>
      <w:r>
        <w:t xml:space="preserve"/>
      </w:r>
    </w:p>
    <w:p>
      <w:pPr>
        <w:spacing w:before="0" w:after="80"/>
        <w:jc w:val="center"/>
      </w:pPr>
      <w:r>
        <w:rPr>
          <w:rFonts w:ascii="Arial" w:cs="Arial" w:eastAsia="Arial" w:hAnsi="Arial"/>
          <w:b/>
          <w:bCs/>
          <w:color w:val="D35400"/>
          <w:sz w:val="36"/>
          <w:szCs w:val="36"/>
        </w:rPr>
        <w:t xml:space="preserve">INFORME DE AVANCE</w:t>
      </w:r>
    </w:p>
    <w:p>
      <w:pPr>
        <w:spacing w:before="0" w:after="40"/>
        <w:jc w:val="center"/>
      </w:pPr>
      <w:r>
        <w:rPr>
          <w:rFonts w:ascii="Arial" w:cs="Arial" w:eastAsia="Arial" w:hAnsi="Arial"/>
          <w:b/>
          <w:bCs/>
          <w:color w:val="2C3E50"/>
          <w:sz w:val="28"/>
          <w:szCs w:val="28"/>
        </w:rPr>
        <w:t xml:space="preserve">Simulador de Diferenciación iPSC → Linajes Renales</w:t>
      </w:r>
    </w:p>
    <w:p>
      <w:pPr>
        <w:spacing w:before="0" w:after="300"/>
        <w:jc w:val="center"/>
      </w:pPr>
      <w:r>
        <w:rPr>
          <w:rFonts w:ascii="Arial" w:cs="Arial" w:eastAsia="Arial" w:hAnsi="Arial"/>
          <w:i/>
          <w:iCs/>
          <w:color w:val="7F8C8D"/>
          <w:sz w:val="22"/>
          <w:szCs w:val="22"/>
        </w:rPr>
        <w:t xml:space="preserve">Módulo completado  •  Pipeline in silico: 52% completado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Investigador</w:t>
            </w:r>
          </w:p>
        </w:tc>
        <w:tc>
          <w:tcPr>
            <w:tcW w:type="dxa" w:w="3600"/>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Arial" w:cs="Arial" w:eastAsia="Arial" w:hAnsi="Arial"/>
                <w:b w:val="false"/>
                <w:bCs w:val="false"/>
                <w:i w:val="false"/>
                <w:iCs w:val="false"/>
                <w:color w:val="0D3B6E"/>
                <w:sz w:val="20"/>
                <w:szCs w:val="20"/>
              </w:rPr>
              <w:t xml:space="preserve">Carlos David Moreno Cáceres</w:t>
            </w:r>
          </w:p>
        </w:tc>
      </w:tr>
      <w:tr>
        <w:tc>
          <w:tcPr>
            <w:tcW w:type="dxa" w:w="36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Marca</w:t>
            </w:r>
          </w:p>
        </w:tc>
        <w:tc>
          <w:tcPr>
            <w:tcW w:type="dxa" w:w="3600"/>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Arial" w:cs="Arial" w:eastAsia="Arial" w:hAnsi="Arial"/>
                <w:b w:val="false"/>
                <w:bCs w:val="false"/>
                <w:i w:val="false"/>
                <w:iCs w:val="false"/>
                <w:color w:val="0D3B6E"/>
                <w:sz w:val="20"/>
                <w:szCs w:val="20"/>
              </w:rPr>
              <w:t xml:space="preserve">VirtusSapiens</w:t>
            </w:r>
          </w:p>
        </w:tc>
      </w:tr>
      <w:tr>
        <w:tc>
          <w:tcPr>
            <w:tcW w:type="dxa" w:w="36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Ubicación</w:t>
            </w:r>
          </w:p>
        </w:tc>
        <w:tc>
          <w:tcPr>
            <w:tcW w:type="dxa" w:w="3600"/>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Arial" w:cs="Arial" w:eastAsia="Arial" w:hAnsi="Arial"/>
                <w:b w:val="false"/>
                <w:bCs w:val="false"/>
                <w:i w:val="false"/>
                <w:iCs w:val="false"/>
                <w:color w:val="0D3B6E"/>
                <w:sz w:val="20"/>
                <w:szCs w:val="20"/>
              </w:rPr>
              <w:t xml:space="preserve">Medellín, Colombia</w:t>
            </w:r>
          </w:p>
        </w:tc>
      </w:tr>
      <w:tr>
        <w:tc>
          <w:tcPr>
            <w:tcW w:type="dxa" w:w="36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Fecha</w:t>
            </w:r>
          </w:p>
        </w:tc>
        <w:tc>
          <w:tcPr>
            <w:tcW w:type="dxa" w:w="3600"/>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Arial" w:cs="Arial" w:eastAsia="Arial" w:hAnsi="Arial"/>
                <w:b w:val="false"/>
                <w:bCs w:val="false"/>
                <w:i w:val="false"/>
                <w:iCs w:val="false"/>
                <w:color w:val="0D3B6E"/>
                <w:sz w:val="20"/>
                <w:szCs w:val="20"/>
              </w:rPr>
              <w:t xml:space="preserve">Marzo 2026</w:t>
            </w:r>
          </w:p>
        </w:tc>
      </w:tr>
      <w:tr>
        <w:tc>
          <w:tcPr>
            <w:tcW w:type="dxa" w:w="36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Entorno</w:t>
            </w:r>
          </w:p>
        </w:tc>
        <w:tc>
          <w:tcPr>
            <w:tcW w:type="dxa" w:w="3600"/>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Arial" w:cs="Arial" w:eastAsia="Arial" w:hAnsi="Arial"/>
                <w:b w:val="false"/>
                <w:bCs w:val="false"/>
                <w:i w:val="false"/>
                <w:iCs w:val="false"/>
                <w:color w:val="0D3B6E"/>
                <w:sz w:val="20"/>
                <w:szCs w:val="20"/>
              </w:rPr>
              <w:t xml:space="preserve">Ubuntu  •  Python env_biokidney  •  BioKidney-AI/</w:t>
            </w:r>
          </w:p>
        </w:tc>
      </w:tr>
    </w:tbl>
    <w:p>
      <w:pPr>
        <w:spacing w:before="200" w:after="0"/>
      </w:pPr>
      <w:r>
        <w:t xml:space="preserve"/>
      </w:r>
    </w:p>
    <w:p>
      <w:r>
        <w:br w:type="page"/>
      </w:r>
    </w:p>
    <w:p>
      <w:pPr>
        <w:pStyle w:val="Heading1"/>
        <w:pBdr>
          <w:bottom w:val="single" w:color="148F77" w:sz="8" w:space="4"/>
        </w:pBdr>
        <w:spacing w:before="360" w:after="160"/>
      </w:pPr>
      <w:r>
        <w:rPr>
          <w:rFonts w:ascii="Arial" w:cs="Arial" w:eastAsia="Arial" w:hAnsi="Arial"/>
          <w:b/>
          <w:bCs/>
          <w:color w:val="0D3B6E"/>
          <w:sz w:val="32"/>
          <w:szCs w:val="32"/>
        </w:rPr>
        <w:t xml:space="preserve">1. Contexto del Proyecto</w:t>
      </w:r>
    </w:p>
    <w:p>
      <w:pPr>
        <w:spacing w:before="60" w:after="100"/>
      </w:pPr>
      <w:r>
        <w:rPr>
          <w:rFonts w:ascii="Arial" w:cs="Arial" w:eastAsia="Arial" w:hAnsi="Arial"/>
          <w:b w:val="false"/>
          <w:bCs w:val="false"/>
          <w:color w:val="2C3E50"/>
          <w:sz w:val="22"/>
          <w:szCs w:val="22"/>
        </w:rPr>
        <w:t xml:space="preserve">Bio-Kidney AI 2026 es un protocolo de investigación independiente que tiene como objetivo diseñar in silico el proceso completo para bioimprimir un riñón humano funcional. El proyecto combina cuatro tecnologías de frontera:</w:t>
      </w:r>
    </w:p>
    <w:p>
      <w:pPr>
        <w:spacing w:before="6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iPSCs (células madre pluripotentes inducidas) — fuente celular autológa del paciente</w:t>
      </w:r>
    </w:p>
    <w:p>
      <w:pPr>
        <w:pStyle w:val="ListParagraph"/>
        <w:numPr>
          <w:ilvl w:val="0"/>
          <w:numId w:val="2"/>
        </w:numPr>
        <w:spacing w:before="40" w:after="40"/>
      </w:pPr>
      <w:r>
        <w:rPr>
          <w:rFonts w:ascii="Arial" w:cs="Arial" w:eastAsia="Arial" w:hAnsi="Arial"/>
          <w:color w:val="2C3E50"/>
          <w:sz w:val="22"/>
          <w:szCs w:val="22"/>
        </w:rPr>
        <w:t xml:space="preserve">Co-SWIFT (Sacrificial Writing Into Functional Tissue) — técnica de bioimpresion vascular</w:t>
      </w:r>
    </w:p>
    <w:p>
      <w:pPr>
        <w:pStyle w:val="ListParagraph"/>
        <w:numPr>
          <w:ilvl w:val="0"/>
          <w:numId w:val="2"/>
        </w:numPr>
        <w:spacing w:before="40" w:after="40"/>
      </w:pPr>
      <w:r>
        <w:rPr>
          <w:rFonts w:ascii="Arial" w:cs="Arial" w:eastAsia="Arial" w:hAnsi="Arial"/>
          <w:color w:val="2C3E50"/>
          <w:sz w:val="22"/>
          <w:szCs w:val="22"/>
        </w:rPr>
        <w:t xml:space="preserve">dECM vegetal (matriz extracelular descelularizada) — andamiaje biocompatible</w:t>
      </w:r>
    </w:p>
    <w:p>
      <w:pPr>
        <w:pStyle w:val="ListParagraph"/>
        <w:numPr>
          <w:ilvl w:val="0"/>
          <w:numId w:val="2"/>
        </w:numPr>
        <w:spacing w:before="40" w:after="40"/>
      </w:pPr>
      <w:r>
        <w:rPr>
          <w:rFonts w:ascii="Arial" w:cs="Arial" w:eastAsia="Arial" w:hAnsi="Arial"/>
          <w:color w:val="2C3E50"/>
          <w:sz w:val="22"/>
          <w:szCs w:val="22"/>
        </w:rPr>
        <w:t xml:space="preserve">IA agéntica — optimización y control del protocolo en tiempo real</w:t>
      </w:r>
    </w:p>
    <w:p>
      <w:pPr>
        <w:spacing w:before="100" w:after="0"/>
      </w:pPr>
      <w:r>
        <w:t xml:space="preserve"/>
      </w:r>
    </w:p>
    <w:p>
      <w:pPr>
        <w:spacing w:before="60" w:after="100"/>
      </w:pPr>
      <w:r>
        <w:rPr>
          <w:rFonts w:ascii="Arial" w:cs="Arial" w:eastAsia="Arial" w:hAnsi="Arial"/>
          <w:b w:val="false"/>
          <w:bCs w:val="false"/>
          <w:color w:val="2C3E50"/>
          <w:sz w:val="22"/>
          <w:szCs w:val="22"/>
        </w:rPr>
        <w:t xml:space="preserve">El investigador, Carlos David Moreno Cáceres, padece ERC Estadio 5 y se dializa tres veces por semana. Vive sin riñones biológicos funcionales desde diciembre de 2023, lo que confiere a este trabajo una dimensión personal y una urgencia médica directa.</w:t>
      </w:r>
    </w:p>
    <w:p>
      <w:pPr>
        <w:spacing w:before="100" w:after="0"/>
      </w:pPr>
      <w:r>
        <w:t xml:space="preserve"/>
      </w:r>
    </w:p>
    <w:p>
      <w:pPr>
        <w:pStyle w:val="Heading2"/>
        <w:spacing w:before="240" w:after="120"/>
      </w:pPr>
      <w:r>
        <w:rPr>
          <w:rFonts w:ascii="Arial" w:cs="Arial" w:eastAsia="Arial" w:hAnsi="Arial"/>
          <w:b/>
          <w:bCs/>
          <w:color w:val="148F77"/>
          <w:sz w:val="26"/>
          <w:szCs w:val="26"/>
        </w:rPr>
        <w:t xml:space="preserve">Infraestructura técnica</w:t>
      </w:r>
    </w:p>
    <w:p>
      <w:pPr>
        <w:pStyle w:val="ListParagraph"/>
        <w:numPr>
          <w:ilvl w:val="0"/>
          <w:numId w:val="2"/>
        </w:numPr>
        <w:spacing w:before="40" w:after="40"/>
      </w:pPr>
      <w:r>
        <w:rPr>
          <w:rFonts w:ascii="Arial" w:cs="Arial" w:eastAsia="Arial" w:hAnsi="Arial"/>
          <w:color w:val="2C3E50"/>
          <w:sz w:val="22"/>
          <w:szCs w:val="22"/>
        </w:rPr>
        <w:t xml:space="preserve">Sistema operativo: Ubuntu 24</w:t>
      </w:r>
    </w:p>
    <w:p>
      <w:pPr>
        <w:pStyle w:val="ListParagraph"/>
        <w:numPr>
          <w:ilvl w:val="0"/>
          <w:numId w:val="2"/>
        </w:numPr>
        <w:spacing w:before="40" w:after="40"/>
      </w:pPr>
      <w:r>
        <w:rPr>
          <w:rFonts w:ascii="Arial" w:cs="Arial" w:eastAsia="Arial" w:hAnsi="Arial"/>
          <w:color w:val="2C3E50"/>
          <w:sz w:val="22"/>
          <w:szCs w:val="22"/>
        </w:rPr>
        <w:t xml:space="preserve">Entorno virtual: ~/env_biokidney (Python 3.12 + NumPy 2.x + SciPy + Matplotlib)</w:t>
      </w:r>
    </w:p>
    <w:p>
      <w:pPr>
        <w:pStyle w:val="ListParagraph"/>
        <w:numPr>
          <w:ilvl w:val="0"/>
          <w:numId w:val="2"/>
        </w:numPr>
        <w:spacing w:before="40" w:after="40"/>
      </w:pPr>
      <w:r>
        <w:rPr>
          <w:rFonts w:ascii="Arial" w:cs="Arial" w:eastAsia="Arial" w:hAnsi="Arial"/>
          <w:color w:val="2C3E50"/>
          <w:sz w:val="22"/>
          <w:szCs w:val="22"/>
        </w:rPr>
        <w:t xml:space="preserve">Directorio del proyecto: ~/Escritorio/BioKidney-AI/</w:t>
      </w:r>
    </w:p>
    <w:p>
      <w:pPr>
        <w:pStyle w:val="ListParagraph"/>
        <w:numPr>
          <w:ilvl w:val="0"/>
          <w:numId w:val="2"/>
        </w:numPr>
        <w:spacing w:before="40" w:after="40"/>
      </w:pPr>
      <w:r>
        <w:rPr>
          <w:rFonts w:ascii="Arial" w:cs="Arial" w:eastAsia="Arial" w:hAnsi="Arial"/>
          <w:color w:val="2C3E50"/>
          <w:sz w:val="22"/>
          <w:szCs w:val="22"/>
        </w:rPr>
        <w:t xml:space="preserve">Simuladores en: ~/Escritorio/BioKidney-AI/01_simuladores/</w:t>
      </w:r>
    </w:p>
    <w:p>
      <w:pPr>
        <w:spacing w:before="200" w:after="0"/>
      </w:pPr>
      <w:r>
        <w:t xml:space="preserve"/>
      </w:r>
    </w:p>
    <w:p>
      <w:pPr>
        <w:pStyle w:val="Heading1"/>
        <w:pBdr>
          <w:bottom w:val="single" w:color="148F77" w:sz="8" w:space="4"/>
        </w:pBdr>
        <w:spacing w:before="360" w:after="160"/>
      </w:pPr>
      <w:r>
        <w:rPr>
          <w:rFonts w:ascii="Arial" w:cs="Arial" w:eastAsia="Arial" w:hAnsi="Arial"/>
          <w:b/>
          <w:bCs/>
          <w:color w:val="0D3B6E"/>
          <w:sz w:val="32"/>
          <w:szCs w:val="32"/>
        </w:rPr>
        <w:t xml:space="preserve">2. Pipeline In Silico — Estado General (52% completado)</w:t>
      </w:r>
    </w:p>
    <w:p>
      <w:pPr>
        <w:spacing w:before="60" w:after="100"/>
      </w:pPr>
      <w:r>
        <w:rPr>
          <w:rFonts w:ascii="Arial" w:cs="Arial" w:eastAsia="Arial" w:hAnsi="Arial"/>
          <w:b w:val="false"/>
          <w:bCs w:val="false"/>
          <w:color w:val="2C3E50"/>
          <w:sz w:val="22"/>
          <w:szCs w:val="22"/>
        </w:rPr>
        <w:t xml:space="preserve">El pipeline completo consiste en 11 módulos computacionales que modelan cada etapa del proceso de bioimpresión renal. A la fecha, 8 módulos han sido completados: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Módulo / Simulador</w:t>
            </w:r>
          </w:p>
        </w:tc>
        <w:tc>
          <w:tcPr>
            <w:tcW w:type="dxa" w:w="40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Descripción</w:t>
            </w:r>
          </w:p>
        </w:tc>
        <w:tc>
          <w:tcPr>
            <w:tcW w:type="dxa" w:w="276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Estado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WSS Hemodinámica</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Flujo vascular + estrés de pared</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Cinética iPSC (general)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Maduración celular básica</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Extrusión SWIFT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Bioimpresión + parámetros de extrusión</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Difusión de Oxígeno</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PO₂ mínima 20 mmHg — 100% oxigenado</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Generador Vascular CCO v7</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Murray 100%, 1448 segmentos, cobertura 100%</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Modelo 3D Blender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Render definitivo del constructo renal</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App Escritorio PyQt6</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Interfaz integrada primeros 3 simuladores</w:t>
            </w:r>
          </w:p>
        </w:tc>
        <w:tc>
          <w:tcPr>
            <w:tcW w:type="dxa" w:w="27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Diferenciación iPSC ★</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Linajes renales — 3 protocolos indep.</w:t>
            </w:r>
          </w:p>
        </w:tc>
        <w:tc>
          <w:tcPr>
            <w:tcW w:type="dxa" w:w="2760"/>
            <w:gridSpan w:val="1"/>
            <w:tcBorders>
              <w:top w:val="single" w:color="CCCCCC" w:sz="1"/>
              <w:left w:val="single" w:color="CCCCCC" w:sz="1"/>
              <w:bottom w:val="single" w:color="CCCCCC" w:sz="1"/>
              <w:right w:val="single" w:color="CCCCCC" w:sz="1"/>
            </w:tcBorders>
            <w:shd w:fill="D1F2EB" w:val="clear"/>
            <w:tcMar>
              <w:top w:type="dxa" w:w="80"/>
              <w:left w:type="dxa" w:w="140"/>
              <w:bottom w:type="dxa" w:w="80"/>
              <w:right w:type="dxa" w:w="140"/>
            </w:tcMar>
          </w:tcPr>
          <w:p>
            <w:pPr>
              <w:jc w:val="center"/>
            </w:pPr>
            <w:r>
              <w:rPr>
                <w:rFonts w:ascii="Arial" w:cs="Arial" w:eastAsia="Arial" w:hAnsi="Arial"/>
                <w:b/>
                <w:bCs/>
                <w:i w:val="false"/>
                <w:iCs w:val="false"/>
                <w:color w:val="148F77"/>
                <w:sz w:val="20"/>
                <w:szCs w:val="20"/>
              </w:rPr>
              <w:t xml:space="preserve">✓ Completado</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Maduración post-impresión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Consolidación del constructo</w:t>
            </w:r>
          </w:p>
        </w:tc>
        <w:tc>
          <w:tcPr>
            <w:tcW w:type="dxa" w:w="2760"/>
            <w:gridSpan w:val="1"/>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i w:val="false"/>
                <w:iCs w:val="false"/>
                <w:color w:val="D35400"/>
                <w:sz w:val="20"/>
                <w:szCs w:val="20"/>
              </w:rPr>
              <w:t xml:space="preserve">⏳ Pendiente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Fusión celular dECM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Integración matriz vegetal</w:t>
            </w:r>
          </w:p>
        </w:tc>
        <w:tc>
          <w:tcPr>
            <w:tcW w:type="dxa" w:w="2760"/>
            <w:gridSpan w:val="1"/>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i w:val="false"/>
                <w:iCs w:val="false"/>
                <w:color w:val="D35400"/>
                <w:sz w:val="20"/>
                <w:szCs w:val="20"/>
              </w:rPr>
              <w:t xml:space="preserve">⏳ Pendiente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Validación in silico total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Pipeline completo integrado</w:t>
            </w:r>
          </w:p>
        </w:tc>
        <w:tc>
          <w:tcPr>
            <w:tcW w:type="dxa" w:w="2760"/>
            <w:gridSpan w:val="1"/>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i w:val="false"/>
                <w:iCs w:val="false"/>
                <w:color w:val="D35400"/>
                <w:sz w:val="20"/>
                <w:szCs w:val="20"/>
              </w:rPr>
              <w:t xml:space="preserve">⏳ Pendiente</w:t>
            </w:r>
          </w:p>
        </w:tc>
      </w:tr>
    </w:tbl>
    <w:p>
      <w:pPr>
        <w:spacing w:before="160" w:after="0"/>
      </w:pPr>
      <w:r>
        <w:t xml:space="preserve"/>
      </w:r>
    </w:p>
    <w:p>
      <w:pPr>
        <w:spacing w:before="60" w:after="60"/>
      </w:pPr>
      <w:r>
        <w:rPr>
          <w:rFonts w:ascii="Arial" w:cs="Arial" w:eastAsia="Arial" w:hAnsi="Arial"/>
          <w:b/>
          <w:bCs/>
          <w:color w:val="148F77"/>
          <w:sz w:val="22"/>
          <w:szCs w:val="22"/>
        </w:rPr>
        <w:t xml:space="preserve">★  Módulo completado en esta sesión de trabajo: </w:t>
      </w:r>
      <w:r>
        <w:rPr>
          <w:rFonts w:ascii="Arial" w:cs="Arial" w:eastAsia="Arial" w:hAnsi="Arial"/>
          <w:b/>
          <w:bCs/>
          <w:color w:val="D35400"/>
          <w:sz w:val="22"/>
          <w:szCs w:val="22"/>
        </w:rPr>
        <w:t xml:space="preserve">Simulador de Diferenciación iPSC → Linajes Renales</w:t>
      </w:r>
    </w:p>
    <w:p>
      <w:r>
        <w:br w:type="page"/>
      </w:r>
    </w:p>
    <w:p>
      <w:pPr>
        <w:pStyle w:val="Heading1"/>
        <w:pBdr>
          <w:bottom w:val="single" w:color="148F77" w:sz="8" w:space="4"/>
        </w:pBdr>
        <w:spacing w:before="360" w:after="160"/>
      </w:pPr>
      <w:r>
        <w:rPr>
          <w:rFonts w:ascii="Arial" w:cs="Arial" w:eastAsia="Arial" w:hAnsi="Arial"/>
          <w:b/>
          <w:bCs/>
          <w:color w:val="0D3B6E"/>
          <w:sz w:val="32"/>
          <w:szCs w:val="32"/>
        </w:rPr>
        <w:t xml:space="preserve">3. Simulador de Diferenciación iPSC → Linajes Renales</w:t>
      </w:r>
    </w:p>
    <w:p>
      <w:pPr>
        <w:pStyle w:val="Heading2"/>
        <w:spacing w:before="240" w:after="120"/>
      </w:pPr>
      <w:r>
        <w:rPr>
          <w:rFonts w:ascii="Arial" w:cs="Arial" w:eastAsia="Arial" w:hAnsi="Arial"/>
          <w:b/>
          <w:bCs/>
          <w:color w:val="148F77"/>
          <w:sz w:val="26"/>
          <w:szCs w:val="26"/>
        </w:rPr>
        <w:t xml:space="preserve">3.1 Objetivo del módulo</w:t>
      </w:r>
    </w:p>
    <w:p>
      <w:pPr>
        <w:spacing w:before="60" w:after="100"/>
      </w:pPr>
      <w:r>
        <w:rPr>
          <w:rFonts w:ascii="Arial" w:cs="Arial" w:eastAsia="Arial" w:hAnsi="Arial"/>
          <w:b w:val="false"/>
          <w:bCs w:val="false"/>
          <w:color w:val="2C3E50"/>
          <w:sz w:val="22"/>
          <w:szCs w:val="22"/>
        </w:rPr>
        <w:t xml:space="preserve">Modelar computacionalmente la conversión de células madre pluripotentes inducidas (iPSCs) en los tres tipos celulares funcionales del riñón que requiere el protocolo de bioimpresión:</w:t>
      </w:r>
    </w:p>
    <w:p>
      <w:pPr>
        <w:spacing w:before="6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Podocitos — filtrado glomerular (barrera de filtración sánguinea)</w:t>
      </w:r>
    </w:p>
    <w:p>
      <w:pPr>
        <w:pStyle w:val="ListParagraph"/>
        <w:numPr>
          <w:ilvl w:val="0"/>
          <w:numId w:val="2"/>
        </w:numPr>
        <w:spacing w:before="40" w:after="40"/>
      </w:pPr>
      <w:r>
        <w:rPr>
          <w:rFonts w:ascii="Arial" w:cs="Arial" w:eastAsia="Arial" w:hAnsi="Arial"/>
          <w:color w:val="2C3E50"/>
          <w:sz w:val="22"/>
          <w:szCs w:val="22"/>
        </w:rPr>
        <w:t xml:space="preserve">Células Tubulares Proximales (PCT) — reabsorción de metabolitos</w:t>
      </w:r>
    </w:p>
    <w:p>
      <w:pPr>
        <w:pStyle w:val="ListParagraph"/>
        <w:numPr>
          <w:ilvl w:val="0"/>
          <w:numId w:val="2"/>
        </w:numPr>
        <w:spacing w:before="40" w:after="40"/>
      </w:pPr>
      <w:r>
        <w:rPr>
          <w:rFonts w:ascii="Arial" w:cs="Arial" w:eastAsia="Arial" w:hAnsi="Arial"/>
          <w:color w:val="2C3E50"/>
          <w:sz w:val="22"/>
          <w:szCs w:val="22"/>
        </w:rPr>
        <w:t xml:space="preserve">Células Endoteliales inducidas (iECs) — formación y estabilización vascular</w:t>
      </w:r>
    </w:p>
    <w:p>
      <w:pPr>
        <w:spacing w:before="100" w:after="0"/>
      </w:pPr>
      <w:r>
        <w:t xml:space="preserve"/>
      </w:r>
    </w:p>
    <w:p>
      <w:pPr>
        <w:pStyle w:val="Heading2"/>
        <w:spacing w:before="240" w:after="120"/>
      </w:pPr>
      <w:r>
        <w:rPr>
          <w:rFonts w:ascii="Arial" w:cs="Arial" w:eastAsia="Arial" w:hAnsi="Arial"/>
          <w:b/>
          <w:bCs/>
          <w:color w:val="148F77"/>
          <w:sz w:val="26"/>
          <w:szCs w:val="26"/>
        </w:rPr>
        <w:t xml:space="preserve">3.2 Ruta biológica modelada</w:t>
      </w:r>
    </w:p>
    <w:p>
      <w:pPr>
        <w:spacing w:before="60" w:after="100"/>
      </w:pPr>
      <w:r>
        <w:rPr>
          <w:rFonts w:ascii="Arial" w:cs="Arial" w:eastAsia="Arial" w:hAnsi="Arial"/>
          <w:b w:val="false"/>
          <w:bCs w:val="false"/>
          <w:color w:val="2C3E50"/>
          <w:sz w:val="22"/>
          <w:szCs w:val="22"/>
        </w:rPr>
        <w:t xml:space="preserve">El simulador replica la cascada de señalización publicada por Takasato et al. 2015 (Nature) y Freedman et al. 2015:</w:t>
      </w:r>
    </w:p>
    <w:p>
      <w:pPr>
        <w:spacing w:before="6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Días 0–5: Señal Wnt (CHIR99021, 8 ng/mL) → iPSC → Mesodermo Intermedio</w:t>
      </w:r>
    </w:p>
    <w:p>
      <w:pPr>
        <w:pStyle w:val="ListParagraph"/>
        <w:numPr>
          <w:ilvl w:val="0"/>
          <w:numId w:val="2"/>
        </w:numPr>
        <w:spacing w:before="40" w:after="40"/>
      </w:pPr>
      <w:r>
        <w:rPr>
          <w:rFonts w:ascii="Arial" w:cs="Arial" w:eastAsia="Arial" w:hAnsi="Arial"/>
          <w:color w:val="2C3E50"/>
          <w:sz w:val="22"/>
          <w:szCs w:val="22"/>
        </w:rPr>
        <w:t xml:space="preserve">Días 5–12: BMP7 (50 ng/mL) + Ácido Retinoico (0.1 ng/mL) → IM → NPC (progenitores de nefrona)</w:t>
      </w:r>
    </w:p>
    <w:p>
      <w:pPr>
        <w:pStyle w:val="ListParagraph"/>
        <w:numPr>
          <w:ilvl w:val="0"/>
          <w:numId w:val="2"/>
        </w:numPr>
        <w:spacing w:before="40" w:after="40"/>
      </w:pPr>
      <w:r>
        <w:rPr>
          <w:rFonts w:ascii="Arial" w:cs="Arial" w:eastAsia="Arial" w:hAnsi="Arial"/>
          <w:color w:val="2C3E50"/>
          <w:sz w:val="22"/>
          <w:szCs w:val="22"/>
        </w:rPr>
        <w:t xml:space="preserve">Días 12–30: GDNF+BMP4 → Podocitos  |  FGF9+EGF → PCT  |  FGF9+VEGFA → iECs</w:t>
      </w:r>
    </w:p>
    <w:p>
      <w:pPr>
        <w:spacing w:before="100" w:after="0"/>
      </w:pPr>
      <w:r>
        <w:t xml:space="preserve"/>
      </w:r>
    </w:p>
    <w:p>
      <w:pPr>
        <w:pStyle w:val="Heading2"/>
        <w:spacing w:before="240" w:after="120"/>
      </w:pPr>
      <w:r>
        <w:rPr>
          <w:rFonts w:ascii="Arial" w:cs="Arial" w:eastAsia="Arial" w:hAnsi="Arial"/>
          <w:b/>
          <w:bCs/>
          <w:color w:val="148F77"/>
          <w:sz w:val="26"/>
          <w:szCs w:val="26"/>
        </w:rPr>
        <w:t xml:space="preserve">3.3 Arquitectura computacional</w:t>
      </w:r>
    </w:p>
    <w:p>
      <w:pPr>
        <w:spacing w:before="60" w:after="100"/>
      </w:pPr>
      <w:r>
        <w:rPr>
          <w:rFonts w:ascii="Arial" w:cs="Arial" w:eastAsia="Arial" w:hAnsi="Arial"/>
          <w:b w:val="false"/>
          <w:bCs w:val="false"/>
          <w:color w:val="2C3E50"/>
          <w:sz w:val="22"/>
          <w:szCs w:val="22"/>
        </w:rPr>
        <w:t xml:space="preserve">El diseño final usa 3 sistemas de ODEs independientes (uno por protocolo), cada uno con 4 variables de estado:</w:t>
      </w:r>
    </w:p>
    <w:p>
      <w:pPr>
        <w:spacing w:before="6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y = [iPSC, Mesodermo Intermedio, NPC, Linaje TARGET]</w:t>
      </w:r>
    </w:p>
    <w:p>
      <w:pPr>
        <w:pStyle w:val="ListParagraph"/>
        <w:numPr>
          <w:ilvl w:val="0"/>
          <w:numId w:val="2"/>
        </w:numPr>
        <w:spacing w:before="40" w:after="40"/>
      </w:pPr>
      <w:r>
        <w:rPr>
          <w:rFonts w:ascii="Arial" w:cs="Arial" w:eastAsia="Arial" w:hAnsi="Arial"/>
          <w:color w:val="2C3E50"/>
          <w:sz w:val="22"/>
          <w:szCs w:val="22"/>
        </w:rPr>
        <w:t xml:space="preserve">Método numérico: Runge-Kutta 45 (RK45) con tolerancias rtol=1e-8, atol=1e-10</w:t>
      </w:r>
    </w:p>
    <w:p>
      <w:pPr>
        <w:pStyle w:val="ListParagraph"/>
        <w:numPr>
          <w:ilvl w:val="0"/>
          <w:numId w:val="2"/>
        </w:numPr>
        <w:spacing w:before="40" w:after="40"/>
      </w:pPr>
      <w:r>
        <w:rPr>
          <w:rFonts w:ascii="Arial" w:cs="Arial" w:eastAsia="Arial" w:hAnsi="Arial"/>
          <w:color w:val="2C3E50"/>
          <w:sz w:val="22"/>
          <w:szCs w:val="22"/>
        </w:rPr>
        <w:t xml:space="preserve">Cinética de señalización: función de Hill (n=2) con rampas suaves de entrada/salida</w:t>
      </w:r>
    </w:p>
    <w:p>
      <w:pPr>
        <w:pStyle w:val="ListParagraph"/>
        <w:numPr>
          <w:ilvl w:val="0"/>
          <w:numId w:val="2"/>
        </w:numPr>
        <w:spacing w:before="40" w:after="40"/>
      </w:pPr>
      <w:r>
        <w:rPr>
          <w:rFonts w:ascii="Arial" w:cs="Arial" w:eastAsia="Arial" w:hAnsi="Arial"/>
          <w:color w:val="2C3E50"/>
          <w:sz w:val="22"/>
          <w:szCs w:val="22"/>
        </w:rPr>
        <w:t xml:space="preserve">3000 puntos de evaluación por protocolo (0–30 días)</w:t>
      </w:r>
    </w:p>
    <w:p>
      <w:pPr>
        <w:spacing w:before="60" w:after="100"/>
      </w:pPr>
      <w:r>
        <w:rPr>
          <w:rFonts w:ascii="Arial" w:cs="Arial" w:eastAsia="Arial" w:hAnsi="Arial"/>
          <w:b w:val="false"/>
          <w:bCs w:val="false"/>
          <w:color w:val="7F8C8D"/>
          <w:sz w:val="22"/>
          <w:szCs w:val="22"/>
        </w:rPr>
        <w:t xml:space="preserve">Esta arquitectura replica cómo se realizan los cultivos en laboratorio real: tres frascos independientes con factores específicos para cada linaje, sin competencia entre poblaciones celulares.</w:t>
      </w:r>
    </w:p>
    <w:p>
      <w:pPr>
        <w:spacing w:before="100" w:after="0"/>
      </w:pPr>
      <w:r>
        <w:t xml:space="preserve"/>
      </w:r>
    </w:p>
    <w:p>
      <w:pPr>
        <w:pStyle w:val="Heading2"/>
        <w:spacing w:before="240" w:after="120"/>
      </w:pPr>
      <w:r>
        <w:rPr>
          <w:rFonts w:ascii="Arial" w:cs="Arial" w:eastAsia="Arial" w:hAnsi="Arial"/>
          <w:b/>
          <w:bCs/>
          <w:color w:val="148F77"/>
          <w:sz w:val="26"/>
          <w:szCs w:val="26"/>
        </w:rPr>
        <w:t xml:space="preserve">3.4 Métricas calculadas</w:t>
      </w:r>
    </w:p>
    <w:p>
      <w:pPr>
        <w:pStyle w:val="ListParagraph"/>
        <w:numPr>
          <w:ilvl w:val="0"/>
          <w:numId w:val="2"/>
        </w:numPr>
        <w:spacing w:before="40" w:after="40"/>
      </w:pPr>
      <w:r>
        <w:rPr>
          <w:rFonts w:ascii="Arial" w:cs="Arial" w:eastAsia="Arial" w:hAnsi="Arial"/>
          <w:color w:val="2C3E50"/>
          <w:sz w:val="22"/>
          <w:szCs w:val="22"/>
        </w:rPr>
        <w:t xml:space="preserve">Concentración y fracción de cada tipo celular en función del tiempo</w:t>
      </w:r>
    </w:p>
    <w:p>
      <w:pPr>
        <w:pStyle w:val="ListParagraph"/>
        <w:numPr>
          <w:ilvl w:val="0"/>
          <w:numId w:val="2"/>
        </w:numPr>
        <w:spacing w:before="40" w:after="40"/>
      </w:pPr>
      <w:r>
        <w:rPr>
          <w:rFonts w:ascii="Arial" w:cs="Arial" w:eastAsia="Arial" w:hAnsi="Arial"/>
          <w:color w:val="2C3E50"/>
          <w:sz w:val="22"/>
          <w:szCs w:val="22"/>
        </w:rPr>
        <w:t xml:space="preserve">Pureza fenotípica: fracción del linaje TARGET sobre el total del protocolo</w:t>
      </w:r>
    </w:p>
    <w:p>
      <w:pPr>
        <w:pStyle w:val="ListParagraph"/>
        <w:numPr>
          <w:ilvl w:val="0"/>
          <w:numId w:val="2"/>
        </w:numPr>
        <w:spacing w:before="40" w:after="40"/>
      </w:pPr>
      <w:r>
        <w:rPr>
          <w:rFonts w:ascii="Arial" w:cs="Arial" w:eastAsia="Arial" w:hAnsi="Arial"/>
          <w:color w:val="2C3E50"/>
          <w:sz w:val="22"/>
          <w:szCs w:val="22"/>
        </w:rPr>
        <w:t xml:space="preserve">Ventana óptima de bioimpresión: intervalo donde pureza ≥ 95%</w:t>
      </w:r>
    </w:p>
    <w:p>
      <w:pPr>
        <w:pStyle w:val="ListParagraph"/>
        <w:numPr>
          <w:ilvl w:val="0"/>
          <w:numId w:val="2"/>
        </w:numPr>
        <w:spacing w:before="40" w:after="40"/>
      </w:pPr>
      <w:r>
        <w:rPr>
          <w:rFonts w:ascii="Arial" w:cs="Arial" w:eastAsia="Arial" w:hAnsi="Arial"/>
          <w:color w:val="2C3E50"/>
          <w:sz w:val="22"/>
          <w:szCs w:val="22"/>
        </w:rPr>
        <w:t xml:space="preserve">Índice de pureza fenotípica: área bajo curva ≥95% / área total del linaje</w:t>
      </w:r>
    </w:p>
    <w:p>
      <w:pPr>
        <w:pStyle w:val="ListParagraph"/>
        <w:numPr>
          <w:ilvl w:val="0"/>
          <w:numId w:val="2"/>
        </w:numPr>
        <w:spacing w:before="40" w:after="40"/>
      </w:pPr>
      <w:r>
        <w:rPr>
          <w:rFonts w:ascii="Arial" w:cs="Arial" w:eastAsia="Arial" w:hAnsi="Arial"/>
          <w:color w:val="2C3E50"/>
          <w:sz w:val="22"/>
          <w:szCs w:val="22"/>
        </w:rPr>
        <w:t xml:space="preserve">Riesgo de teratoma: fracción de iPSC residuales indiferenciadas (óptimo &lt;1%)</w:t>
      </w:r>
    </w:p>
    <w:p>
      <w:pPr>
        <w:pStyle w:val="ListParagraph"/>
        <w:numPr>
          <w:ilvl w:val="0"/>
          <w:numId w:val="2"/>
        </w:numPr>
        <w:spacing w:before="40" w:after="40"/>
      </w:pPr>
      <w:r>
        <w:rPr>
          <w:rFonts w:ascii="Arial" w:cs="Arial" w:eastAsia="Arial" w:hAnsi="Arial"/>
          <w:color w:val="2C3E50"/>
          <w:sz w:val="22"/>
          <w:szCs w:val="22"/>
        </w:rPr>
        <w:t xml:space="preserve">Dosis de referencia de cada factor de señalización</w:t>
      </w:r>
    </w:p>
    <w:p>
      <w:r>
        <w:br w:type="page"/>
      </w:r>
    </w:p>
    <w:p>
      <w:pPr>
        <w:pStyle w:val="Heading1"/>
        <w:pBdr>
          <w:bottom w:val="single" w:color="148F77" w:sz="8" w:space="4"/>
        </w:pBdr>
        <w:spacing w:before="360" w:after="160"/>
      </w:pPr>
      <w:r>
        <w:rPr>
          <w:rFonts w:ascii="Arial" w:cs="Arial" w:eastAsia="Arial" w:hAnsi="Arial"/>
          <w:b/>
          <w:bCs/>
          <w:color w:val="0D3B6E"/>
          <w:sz w:val="32"/>
          <w:szCs w:val="32"/>
        </w:rPr>
        <w:t xml:space="preserve">4. Resultados Obtenidos</w:t>
      </w:r>
    </w:p>
    <w:p>
      <w:pPr>
        <w:pStyle w:val="Heading2"/>
        <w:spacing w:before="240" w:after="120"/>
      </w:pPr>
      <w:r>
        <w:rPr>
          <w:rFonts w:ascii="Arial" w:cs="Arial" w:eastAsia="Arial" w:hAnsi="Arial"/>
          <w:b/>
          <w:bCs/>
          <w:color w:val="148F77"/>
          <w:sz w:val="26"/>
          <w:szCs w:val="26"/>
        </w:rPr>
        <w:t xml:space="preserve">4.1 Ventanas óptimas y pureza fenotípica</w:t>
      </w:r>
    </w:p>
    <w:p>
      <w:pPr>
        <w:spacing w:before="60" w:after="100"/>
      </w:pPr>
      <w:r>
        <w:rPr>
          <w:rFonts w:ascii="Arial" w:cs="Arial" w:eastAsia="Arial" w:hAnsi="Arial"/>
          <w:b w:val="false"/>
          <w:bCs w:val="false"/>
          <w:color w:val="2C3E50"/>
          <w:sz w:val="22"/>
          <w:szCs w:val="22"/>
        </w:rPr>
        <w:t xml:space="preserve">Los tres protocolos alcanzan el umbral clínico de pureza ≥95% requerido para bioimpresión segura: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Protocolo</w:t>
            </w:r>
          </w:p>
        </w:tc>
        <w:tc>
          <w:tcPr>
            <w:tcW w:type="dxa" w:w="24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Ventana Bioimpresión</w:t>
            </w:r>
          </w:p>
        </w:tc>
        <w:tc>
          <w:tcPr>
            <w:tcW w:type="dxa" w:w="216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Pureza Pico</w:t>
            </w:r>
          </w:p>
        </w:tc>
        <w:tc>
          <w:tcPr>
            <w:tcW w:type="dxa" w:w="24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Riesgo Teratoma día 21</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D35400"/>
                <w:sz w:val="20"/>
                <w:szCs w:val="20"/>
              </w:rPr>
              <w:t xml:space="preserve">Podocitos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Días 15.9 – 30.0</w:t>
            </w:r>
          </w:p>
        </w:tc>
        <w:tc>
          <w:tcPr>
            <w:tcW w:type="dxa" w:w="21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100.0% ✓</w:t>
            </w:r>
          </w:p>
        </w:tc>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0.0000% BAJO ✓</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E8449"/>
                <w:sz w:val="20"/>
                <w:szCs w:val="20"/>
              </w:rPr>
              <w:t xml:space="preserve">Tub. Proximales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Días 16.9 – 30.0</w:t>
            </w:r>
          </w:p>
        </w:tc>
        <w:tc>
          <w:tcPr>
            <w:tcW w:type="dxa" w:w="21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100.0% ✓</w:t>
            </w:r>
          </w:p>
        </w:tc>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0.0000% BAJO ✓</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1A5276"/>
                <w:sz w:val="20"/>
                <w:szCs w:val="20"/>
              </w:rPr>
              <w:t xml:space="preserve">Endoteliales iECs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Días 16.9 – 30.0</w:t>
            </w:r>
          </w:p>
        </w:tc>
        <w:tc>
          <w:tcPr>
            <w:tcW w:type="dxa" w:w="216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100.0% ✓</w:t>
            </w:r>
          </w:p>
        </w:tc>
        <w:tc>
          <w:tcPr>
            <w:tcW w:type="dxa" w:w="2400"/>
            <w:gridSpan w:val="1"/>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i w:val="false"/>
                <w:iCs w:val="false"/>
                <w:color w:val="1E8449"/>
                <w:sz w:val="20"/>
                <w:szCs w:val="20"/>
              </w:rPr>
              <w:t xml:space="preserve">0.0000% BAJO ✓</w:t>
            </w:r>
          </w:p>
        </w:tc>
      </w:tr>
    </w:tbl>
    <w:p>
      <w:pPr>
        <w:spacing w:before="160" w:after="0"/>
      </w:pPr>
      <w:r>
        <w:t xml:space="preserve"/>
      </w:r>
    </w:p>
    <w:p>
      <w:pPr>
        <w:pStyle w:val="Heading2"/>
        <w:spacing w:before="240" w:after="120"/>
      </w:pPr>
      <w:r>
        <w:rPr>
          <w:rFonts w:ascii="Arial" w:cs="Arial" w:eastAsia="Arial" w:hAnsi="Arial"/>
          <w:b/>
          <w:bCs/>
          <w:color w:val="148F77"/>
          <w:sz w:val="26"/>
          <w:szCs w:val="26"/>
        </w:rPr>
        <w:t xml:space="preserve">4.2 Riesgo de teratoma</w:t>
      </w:r>
    </w:p>
    <w:p>
      <w:pPr>
        <w:spacing w:before="60" w:after="100"/>
      </w:pPr>
      <w:r>
        <w:rPr>
          <w:rFonts w:ascii="Arial" w:cs="Arial" w:eastAsia="Arial" w:hAnsi="Arial"/>
          <w:b w:val="false"/>
          <w:bCs w:val="false"/>
          <w:color w:val="2C3E50"/>
          <w:sz w:val="22"/>
          <w:szCs w:val="22"/>
        </w:rPr>
        <w:t xml:space="preserve">Las iPSC residuales — principal marcador de riesgo de teratoma — se eliminan de forma segura en todos los protocolos:</w:t>
      </w:r>
    </w:p>
    <w:p>
      <w:pPr>
        <w:spacing w:before="6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Día 7: 0.0080% (BAJO ✔) — dentro del umbral seguro (&lt;1%)</w:t>
      </w:r>
    </w:p>
    <w:p>
      <w:pPr>
        <w:pStyle w:val="ListParagraph"/>
        <w:numPr>
          <w:ilvl w:val="0"/>
          <w:numId w:val="2"/>
        </w:numPr>
        <w:spacing w:before="40" w:after="40"/>
      </w:pPr>
      <w:r>
        <w:rPr>
          <w:rFonts w:ascii="Arial" w:cs="Arial" w:eastAsia="Arial" w:hAnsi="Arial"/>
          <w:color w:val="2C3E50"/>
          <w:sz w:val="22"/>
          <w:szCs w:val="22"/>
        </w:rPr>
        <w:t xml:space="preserve">Día 14 en adelante: 0.0000% en los tres protocolos</w:t>
      </w:r>
    </w:p>
    <w:p>
      <w:pPr>
        <w:pStyle w:val="ListParagraph"/>
        <w:numPr>
          <w:ilvl w:val="0"/>
          <w:numId w:val="2"/>
        </w:numPr>
        <w:spacing w:before="40" w:after="40"/>
      </w:pPr>
      <w:r>
        <w:rPr>
          <w:rFonts w:ascii="Arial" w:cs="Arial" w:eastAsia="Arial" w:hAnsi="Arial"/>
          <w:color w:val="2C3E50"/>
          <w:sz w:val="22"/>
          <w:szCs w:val="22"/>
        </w:rPr>
        <w:t xml:space="preserve">El umbral clínico de riesgo alto (&gt;5%) nunca se supera</w:t>
      </w:r>
    </w:p>
    <w:p>
      <w:pPr>
        <w:spacing w:before="100" w:after="0"/>
      </w:pPr>
      <w:r>
        <w:t xml:space="preserve"/>
      </w:r>
    </w:p>
    <w:p>
      <w:pPr>
        <w:pStyle w:val="Heading2"/>
        <w:spacing w:before="240" w:after="120"/>
      </w:pPr>
      <w:r>
        <w:rPr>
          <w:rFonts w:ascii="Arial" w:cs="Arial" w:eastAsia="Arial" w:hAnsi="Arial"/>
          <w:b/>
          <w:bCs/>
          <w:color w:val="148F77"/>
          <w:sz w:val="26"/>
          <w:szCs w:val="26"/>
        </w:rPr>
        <w:t xml:space="preserve">4.3 Dosis de factores de señalización validadas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rPr>
          <w:tblHeader/>
        </w:trPr>
        <w:tc>
          <w:tcPr>
            <w:tcW w:type="dxa" w:w="24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Factor</w:t>
            </w:r>
          </w:p>
        </w:tc>
        <w:tc>
          <w:tcPr>
            <w:tcW w:type="dxa" w:w="20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Dosis (ng/mL)</w:t>
            </w:r>
          </w:p>
        </w:tc>
        <w:tc>
          <w:tcPr>
            <w:tcW w:type="dxa" w:w="256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Ventana temporal</w:t>
            </w:r>
          </w:p>
        </w:tc>
        <w:tc>
          <w:tcPr>
            <w:tcW w:type="dxa" w:w="24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Linaje objetivo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Wnt / CHIR99021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8.0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0–5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Mesodermo Intermedio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BMP7</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50.0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5–12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NPC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Ácido Retinoico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0.1</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5–12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NPC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GDNF</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100.0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12–28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Podocitos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BMP4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10.0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14–28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Podocitos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FGF9 (PCT)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200.0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12–26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Tub. Proximales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EGF</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10.0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15–26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Tub. Proximales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FGF9 (iEC)</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300.0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12–28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iECs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0D3B6E"/>
                <w:sz w:val="20"/>
                <w:szCs w:val="20"/>
              </w:rPr>
              <w:t xml:space="preserve">VEGFA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48F77"/>
                <w:sz w:val="20"/>
                <w:szCs w:val="20"/>
              </w:rPr>
              <w:t xml:space="preserve">50.0</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Días 14–28</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iECs</w:t>
            </w:r>
          </w:p>
        </w:tc>
      </w:tr>
    </w:tbl>
    <w:p>
      <w:r>
        <w:br w:type="page"/>
      </w:r>
    </w:p>
    <w:p>
      <w:pPr>
        <w:pStyle w:val="Heading1"/>
        <w:pBdr>
          <w:bottom w:val="single" w:color="148F77" w:sz="8" w:space="4"/>
        </w:pBdr>
        <w:spacing w:before="360" w:after="160"/>
      </w:pPr>
      <w:r>
        <w:rPr>
          <w:rFonts w:ascii="Arial" w:cs="Arial" w:eastAsia="Arial" w:hAnsi="Arial"/>
          <w:b/>
          <w:bCs/>
          <w:color w:val="0D3B6E"/>
          <w:sz w:val="32"/>
          <w:szCs w:val="32"/>
        </w:rPr>
        <w:t xml:space="preserve">5. Incidencias Técnicas Resueltas</w:t>
      </w:r>
    </w:p>
    <w:p>
      <w:pPr>
        <w:spacing w:before="60" w:after="100"/>
      </w:pPr>
      <w:r>
        <w:rPr>
          <w:rFonts w:ascii="Arial" w:cs="Arial" w:eastAsia="Arial" w:hAnsi="Arial"/>
          <w:b w:val="false"/>
          <w:bCs w:val="false"/>
          <w:color w:val="2C3E50"/>
          <w:sz w:val="22"/>
          <w:szCs w:val="22"/>
        </w:rPr>
        <w:t xml:space="preserve">Durante el desarrollo del simulador se identificaron y resolvieron 8 incidencias técnicas, incluyendo bugs de compatibilidad, errores de lógica científica y un rediseño arquitectural completo:</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500"/>
        <w:gridCol w:w="4000"/>
        <w:gridCol w:w="2400"/>
      </w:tblGrid>
      <w:tr>
        <w:trPr>
          <w:tblHeader/>
        </w:trPr>
        <w:tc>
          <w:tcPr>
            <w:tcW w:type="dxa" w:w="46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t>
            </w:r>
          </w:p>
        </w:tc>
        <w:tc>
          <w:tcPr>
            <w:tcW w:type="dxa" w:w="25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Bug detectado</w:t>
            </w:r>
          </w:p>
        </w:tc>
        <w:tc>
          <w:tcPr>
            <w:tcW w:type="dxa" w:w="40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Solución aplicada</w:t>
            </w:r>
          </w:p>
        </w:tc>
        <w:tc>
          <w:tcPr>
            <w:tcW w:type="dxa" w:w="24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Severidad</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np.trapz deprecado (NumPy 2.0)</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Renombrado a np.trapezoid vía sed</w:t>
            </w:r>
          </w:p>
        </w:tc>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Crítico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axhline con transform inválido</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Reemplazado por ax.plot() con transAxes</w:t>
            </w:r>
          </w:p>
        </w:tc>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Crítico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Pureza 0/3 — modelo ODE incorrecto</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Rediseño: pureza = target / total del protocolo</w:t>
            </w:r>
          </w:p>
        </w:tc>
        <w:tc>
          <w:tcPr>
            <w:tcW w:type="dxa" w:w="2400"/>
            <w:gridSpan w:val="1"/>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Crítico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Variable i fuera de scope (Panel 3)</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Corregido con enumerate explícito</w:t>
            </w:r>
          </w:p>
        </w:tc>
        <w:tc>
          <w:tcPr>
            <w:tcW w:type="dxa" w:w="2400"/>
            <w:gridSpan w:val="1"/>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i w:val="false"/>
                <w:iCs w:val="false"/>
                <w:color w:val="D35400"/>
                <w:sz w:val="20"/>
                <w:szCs w:val="20"/>
              </w:rPr>
              <w:t xml:space="preserve">Medio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5</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Etiquetas de señalización invisibles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Aplicado get_xaxis_transform() con y=0.97</w:t>
            </w:r>
          </w:p>
        </w:tc>
        <w:tc>
          <w:tcPr>
            <w:tcW w:type="dxa" w:w="2400"/>
            <w:gridSpan w:val="1"/>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i w:val="false"/>
                <w:iCs w:val="false"/>
                <w:color w:val="D35400"/>
                <w:sz w:val="20"/>
                <w:szCs w:val="20"/>
              </w:rPr>
              <w:t xml:space="preserve">Medio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6</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tight_layout después de savefig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Invertido el orden de llamada</w:t>
            </w:r>
          </w:p>
        </w:tc>
        <w:tc>
          <w:tcPr>
            <w:tcW w:type="dxa" w:w="2400"/>
            <w:gridSpan w:val="1"/>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bCs/>
                <w:i w:val="false"/>
                <w:iCs w:val="false"/>
                <w:color w:val="7F8C8D"/>
                <w:sz w:val="20"/>
                <w:szCs w:val="20"/>
              </w:rPr>
              <w:t xml:space="preserve">Bajo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7</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Loop 3000 fill_between (lentitud)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3 llamadas con máscaras numpy (10x más rápido)</w:t>
            </w:r>
          </w:p>
        </w:tc>
        <w:tc>
          <w:tcPr>
            <w:tcW w:type="dxa" w:w="2400"/>
            <w:gridSpan w:val="1"/>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center"/>
            </w:pPr>
            <w:r>
              <w:rPr>
                <w:rFonts w:ascii="Arial" w:cs="Arial" w:eastAsia="Arial" w:hAnsi="Arial"/>
                <w:b/>
                <w:bCs/>
                <w:i w:val="false"/>
                <w:iCs w:val="false"/>
                <w:color w:val="7F8C8D"/>
                <w:sz w:val="20"/>
                <w:szCs w:val="20"/>
              </w:rPr>
              <w:t xml:space="preserve">Rendimiento</w:t>
            </w:r>
          </w:p>
        </w:tc>
      </w:tr>
      <w:tr>
        <w:tc>
          <w:tcPr>
            <w:tcW w:type="dxa" w:w="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8</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C3E50"/>
                <w:sz w:val="20"/>
                <w:szCs w:val="20"/>
              </w:rPr>
              <w:t xml:space="preserve">Arquitectura ODE con competencia linaje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Rediseño: 3 protocolos independientes</w:t>
            </w:r>
          </w:p>
        </w:tc>
        <w:tc>
          <w:tcPr>
            <w:tcW w:type="dxa" w:w="2400"/>
            <w:gridSpan w:val="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Arquitectural</w:t>
            </w:r>
          </w:p>
        </w:tc>
      </w:tr>
    </w:tbl>
    <w:p>
      <w:pPr>
        <w:spacing w:before="160" w:after="0"/>
      </w:pPr>
      <w:r>
        <w:t xml:space="preserve"/>
      </w:r>
    </w:p>
    <w:p>
      <w:pPr>
        <w:spacing w:before="60" w:after="100"/>
      </w:pPr>
      <w:r>
        <w:rPr>
          <w:rFonts w:ascii="Arial" w:cs="Arial" w:eastAsia="Arial" w:hAnsi="Arial"/>
          <w:b w:val="false"/>
          <w:bCs w:val="false"/>
          <w:color w:val="7F8C8D"/>
          <w:sz w:val="22"/>
          <w:szCs w:val="22"/>
        </w:rPr>
        <w:t xml:space="preserve">La incidencia más significativa fue la #8 (rediseño arquitectural): el modelo inicial intentaba que los tres linajes emergieran competitivamente del mismo pool de NPC, lo que hace matemáticamente imposible que cualquiera supere el ~33% del total. La solución fue replicar la lógica real de laboratorio — tres cultivos independientes con sus factores específicos.</w:t>
      </w:r>
    </w:p>
    <w:p>
      <w:pPr>
        <w:spacing w:before="200" w:after="0"/>
      </w:pPr>
      <w:r>
        <w:t xml:space="preserve"/>
      </w:r>
    </w:p>
    <w:p>
      <w:pPr>
        <w:pStyle w:val="Heading1"/>
        <w:pBdr>
          <w:bottom w:val="single" w:color="148F77" w:sz="8" w:space="4"/>
        </w:pBdr>
        <w:spacing w:before="360" w:after="160"/>
      </w:pPr>
      <w:r>
        <w:rPr>
          <w:rFonts w:ascii="Arial" w:cs="Arial" w:eastAsia="Arial" w:hAnsi="Arial"/>
          <w:b/>
          <w:bCs/>
          <w:color w:val="0D3B6E"/>
          <w:sz w:val="32"/>
          <w:szCs w:val="32"/>
        </w:rPr>
        <w:t xml:space="preserve">6. Paneles de Visualización Generados</w:t>
      </w:r>
    </w:p>
    <w:p>
      <w:pPr>
        <w:spacing w:before="60" w:after="100"/>
      </w:pPr>
      <w:r>
        <w:rPr>
          <w:rFonts w:ascii="Arial" w:cs="Arial" w:eastAsia="Arial" w:hAnsi="Arial"/>
          <w:b w:val="false"/>
          <w:bCs w:val="false"/>
          <w:color w:val="2C3E50"/>
          <w:sz w:val="22"/>
          <w:szCs w:val="22"/>
        </w:rPr>
        <w:t xml:space="preserve">El simulador genera una figura de 6 paneles con fondo oscuro, coherente con el estilo visual del proyecto:</w:t>
      </w:r>
    </w:p>
    <w:p>
      <w:pPr>
        <w:spacing w:before="6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Panel 1 — Densidad celular relativa del protocolo Podocitos (referencia iPSC→IM→NPC→TARGET)</w:t>
      </w:r>
    </w:p>
    <w:p>
      <w:pPr>
        <w:pStyle w:val="ListParagraph"/>
        <w:numPr>
          <w:ilvl w:val="0"/>
          <w:numId w:val="2"/>
        </w:numPr>
        <w:spacing w:before="40" w:after="40"/>
      </w:pPr>
      <w:r>
        <w:rPr>
          <w:rFonts w:ascii="Arial" w:cs="Arial" w:eastAsia="Arial" w:hAnsi="Arial"/>
          <w:color w:val="2C3E50"/>
          <w:sz w:val="22"/>
          <w:szCs w:val="22"/>
        </w:rPr>
        <w:t xml:space="preserve">Panel 2 — Pureza fenotípica (%) de los 3 protocolos con umbral 95% marcado</w:t>
      </w:r>
    </w:p>
    <w:p>
      <w:pPr>
        <w:pStyle w:val="ListParagraph"/>
        <w:numPr>
          <w:ilvl w:val="0"/>
          <w:numId w:val="2"/>
        </w:numPr>
        <w:spacing w:before="40" w:after="40"/>
      </w:pPr>
      <w:r>
        <w:rPr>
          <w:rFonts w:ascii="Arial" w:cs="Arial" w:eastAsia="Arial" w:hAnsi="Arial"/>
          <w:color w:val="2C3E50"/>
          <w:sz w:val="22"/>
          <w:szCs w:val="22"/>
        </w:rPr>
        <w:t xml:space="preserve">Panel 3 — Riesgo de teratoma en escala logarítmica con semáforo rojo/naranja/verde</w:t>
      </w:r>
    </w:p>
    <w:p>
      <w:pPr>
        <w:pStyle w:val="ListParagraph"/>
        <w:numPr>
          <w:ilvl w:val="0"/>
          <w:numId w:val="2"/>
        </w:numPr>
        <w:spacing w:before="40" w:after="40"/>
      </w:pPr>
      <w:r>
        <w:rPr>
          <w:rFonts w:ascii="Arial" w:cs="Arial" w:eastAsia="Arial" w:hAnsi="Arial"/>
          <w:color w:val="2C3E50"/>
          <w:sz w:val="22"/>
          <w:szCs w:val="22"/>
        </w:rPr>
        <w:t xml:space="preserve">Panel 4 — Actividad temporal de los 6 factores de señalización</w:t>
      </w:r>
    </w:p>
    <w:p>
      <w:pPr>
        <w:pStyle w:val="ListParagraph"/>
        <w:numPr>
          <w:ilvl w:val="0"/>
          <w:numId w:val="2"/>
        </w:numPr>
        <w:spacing w:before="40" w:after="40"/>
      </w:pPr>
      <w:r>
        <w:rPr>
          <w:rFonts w:ascii="Arial" w:cs="Arial" w:eastAsia="Arial" w:hAnsi="Arial"/>
          <w:color w:val="2C3E50"/>
          <w:sz w:val="22"/>
          <w:szCs w:val="22"/>
        </w:rPr>
        <w:t xml:space="preserve">Panel 5 — Mapa de calor (plasma) de pureza fenotípica por protocolo</w:t>
      </w:r>
    </w:p>
    <w:p>
      <w:pPr>
        <w:pStyle w:val="ListParagraph"/>
        <w:numPr>
          <w:ilvl w:val="0"/>
          <w:numId w:val="2"/>
        </w:numPr>
        <w:spacing w:before="40" w:after="40"/>
      </w:pPr>
      <w:r>
        <w:rPr>
          <w:rFonts w:ascii="Arial" w:cs="Arial" w:eastAsia="Arial" w:hAnsi="Arial"/>
          <w:color w:val="2C3E50"/>
          <w:sz w:val="22"/>
          <w:szCs w:val="22"/>
        </w:rPr>
        <w:t xml:space="preserve">Panel 6 — Tabla resumen con ventanas óptimas, pico de pureza e índice</w:t>
      </w:r>
    </w:p>
    <w:p>
      <w:pPr>
        <w:spacing w:before="100" w:after="0"/>
      </w:pPr>
      <w:r>
        <w:t xml:space="preserve"/>
      </w:r>
    </w:p>
    <w:p>
      <w:pPr>
        <w:spacing w:before="60" w:after="100"/>
      </w:pPr>
      <w:r>
        <w:rPr>
          <w:rFonts w:ascii="Arial" w:cs="Arial" w:eastAsia="Arial" w:hAnsi="Arial"/>
          <w:b w:val="false"/>
          <w:bCs w:val="false"/>
          <w:color w:val="2C3E50"/>
          <w:sz w:val="22"/>
          <w:szCs w:val="22"/>
        </w:rPr>
        <w:t xml:space="preserve">Archivo de salida: simulador_diferenciacion_ipsc_output.png (150 dpi, 20x15 pulgadas)</w:t>
      </w:r>
    </w:p>
    <w:p>
      <w:r>
        <w:br w:type="page"/>
      </w:r>
    </w:p>
    <w:p>
      <w:pPr>
        <w:pStyle w:val="Heading1"/>
        <w:pBdr>
          <w:bottom w:val="single" w:color="148F77" w:sz="8" w:space="4"/>
        </w:pBdr>
        <w:spacing w:before="360" w:after="160"/>
      </w:pPr>
      <w:r>
        <w:rPr>
          <w:rFonts w:ascii="Arial" w:cs="Arial" w:eastAsia="Arial" w:hAnsi="Arial"/>
          <w:b/>
          <w:bCs/>
          <w:color w:val="0D3B6E"/>
          <w:sz w:val="32"/>
          <w:szCs w:val="32"/>
        </w:rPr>
        <w:t xml:space="preserve">7. Próximos Pasos del Pipeline</w:t>
      </w:r>
    </w:p>
    <w:p>
      <w:pPr>
        <w:spacing w:before="60" w:after="100"/>
      </w:pPr>
      <w:r>
        <w:rPr>
          <w:rFonts w:ascii="Arial" w:cs="Arial" w:eastAsia="Arial" w:hAnsi="Arial"/>
          <w:b w:val="false"/>
          <w:bCs w:val="false"/>
          <w:color w:val="2C3E50"/>
          <w:sz w:val="22"/>
          <w:szCs w:val="22"/>
        </w:rPr>
        <w:t xml:space="preserve">Con el simulador de diferenciación completado, los siguientes módulos prioritarios son: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000"/>
        <w:gridCol w:w="4000"/>
        <w:gridCol w:w="1720"/>
      </w:tblGrid>
      <w:tr>
        <w:trPr>
          <w:tblHeader/>
        </w:trPr>
        <w:tc>
          <w:tcPr>
            <w:tcW w:type="dxa" w:w="64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Módulo</w:t>
            </w:r>
          </w:p>
        </w:tc>
        <w:tc>
          <w:tcPr>
            <w:tcW w:type="dxa" w:w="400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Descripción</w:t>
            </w:r>
          </w:p>
        </w:tc>
        <w:tc>
          <w:tcPr>
            <w:tcW w:type="dxa" w:w="1720"/>
            <w:gridSpan w:val="1"/>
            <w:tcBorders>
              <w:top w:val="single" w:color="CCCCCC" w:sz="1"/>
              <w:left w:val="single" w:color="CCCCCC" w:sz="1"/>
              <w:bottom w:val="single" w:color="CCCCCC" w:sz="1"/>
              <w:right w:val="single" w:color="CCCCCC" w:sz="1"/>
            </w:tcBorders>
            <w:shd w:fill="0D3B6E" w:val="clear"/>
            <w:tcMar>
              <w:top w:type="dxa" w:w="80"/>
              <w:left w:type="dxa" w:w="140"/>
              <w:bottom w:type="dxa" w:w="80"/>
              <w:right w:type="dxa" w:w="140"/>
            </w:tcMar>
          </w:tcPr>
          <w:p>
            <w:pPr>
              <w:jc w:val="left"/>
            </w:pPr>
            <w:r>
              <w:rPr>
                <w:rFonts w:ascii="Arial" w:cs="Arial" w:eastAsia="Arial" w:hAnsi="Arial"/>
                <w:b/>
                <w:bCs/>
                <w:i w:val="false"/>
                <w:iCs w:val="false"/>
                <w:color w:val="FFFFFF"/>
                <w:sz w:val="20"/>
                <w:szCs w:val="20"/>
              </w:rPr>
              <w:t xml:space="preserve">Prioridad</w:t>
            </w:r>
          </w:p>
        </w:tc>
      </w:tr>
      <w:tr>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9</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Maduración post-bioimpresión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Consolidación del constructo — formación de contactos célula-célula</w:t>
            </w:r>
          </w:p>
        </w:tc>
        <w:tc>
          <w:tcPr>
            <w:tcW w:type="dxa" w:w="1720"/>
            <w:gridSpan w:val="1"/>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Alta</w:t>
            </w:r>
          </w:p>
        </w:tc>
      </w:tr>
      <w:tr>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Fusión celular en dECM</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Integración células ↔ matriz extracelular vegetal</w:t>
            </w:r>
          </w:p>
        </w:tc>
        <w:tc>
          <w:tcPr>
            <w:tcW w:type="dxa" w:w="1720"/>
            <w:gridSpan w:val="1"/>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i w:val="false"/>
                <w:iCs w:val="false"/>
                <w:color w:val="C0392B"/>
                <w:sz w:val="20"/>
                <w:szCs w:val="20"/>
              </w:rPr>
              <w:t xml:space="preserve">Alta</w:t>
            </w:r>
          </w:p>
        </w:tc>
      </w:tr>
      <w:tr>
        <w:tc>
          <w:tcPr>
            <w:tcW w:type="dxa" w:w="6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i w:val="false"/>
                <w:iCs w:val="false"/>
                <w:color w:val="0D3B6E"/>
                <w:sz w:val="20"/>
                <w:szCs w:val="20"/>
              </w:rPr>
              <w:t xml:space="preserve">11</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2C3E50"/>
                <w:sz w:val="20"/>
                <w:szCs w:val="20"/>
              </w:rPr>
              <w:t xml:space="preserve">Validación in silico completa</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7F8C8D"/>
                <w:sz w:val="20"/>
                <w:szCs w:val="20"/>
              </w:rPr>
              <w:t xml:space="preserve">Pipeline integrado de extremo a extremo + dashboard</w:t>
            </w:r>
          </w:p>
        </w:tc>
        <w:tc>
          <w:tcPr>
            <w:tcW w:type="dxa" w:w="1720"/>
            <w:gridSpan w:val="1"/>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i w:val="false"/>
                <w:iCs w:val="false"/>
                <w:color w:val="D35400"/>
                <w:sz w:val="20"/>
                <w:szCs w:val="20"/>
              </w:rPr>
              <w:t xml:space="preserve">Media</w:t>
            </w:r>
          </w:p>
        </w:tc>
      </w:tr>
    </w:tbl>
    <w:p>
      <w:pPr>
        <w:spacing w:before="200" w:after="0"/>
      </w:pPr>
      <w:r>
        <w:t xml:space="preserve"/>
      </w:r>
    </w:p>
    <w:p>
      <w:pPr>
        <w:pStyle w:val="Heading1"/>
        <w:pBdr>
          <w:bottom w:val="single" w:color="148F77" w:sz="8" w:space="4"/>
        </w:pBdr>
        <w:spacing w:before="360" w:after="160"/>
      </w:pPr>
      <w:r>
        <w:rPr>
          <w:rFonts w:ascii="Arial" w:cs="Arial" w:eastAsia="Arial" w:hAnsi="Arial"/>
          <w:b/>
          <w:bCs/>
          <w:color w:val="0D3B6E"/>
          <w:sz w:val="32"/>
          <w:szCs w:val="32"/>
        </w:rPr>
        <w:t xml:space="preserve">8. Conclusión</w:t>
      </w:r>
    </w:p>
    <w:p>
      <w:pPr>
        <w:spacing w:before="60" w:after="100"/>
      </w:pPr>
      <w:r>
        <w:rPr>
          <w:rFonts w:ascii="Arial" w:cs="Arial" w:eastAsia="Arial" w:hAnsi="Arial"/>
          <w:b w:val="false"/>
          <w:bCs w:val="false"/>
          <w:color w:val="2C3E50"/>
          <w:sz w:val="22"/>
          <w:szCs w:val="22"/>
        </w:rPr>
        <w:t xml:space="preserve">En esta sesión de trabajo se completó el Simulador de Diferenciación iPSC, el módulo más complejo del pipeline hasta la fecha. El simulador logra los 5 objetivos planteados inicialmente:</w:t>
      </w:r>
    </w:p>
    <w:p>
      <w:pPr>
        <w:spacing w:before="80" w:after="0"/>
      </w:pPr>
      <w:r>
        <w:t xml:space="preserve"/>
      </w:r>
    </w:p>
    <w:p>
      <w:pPr>
        <w:pStyle w:val="ListParagraph"/>
        <w:numPr>
          <w:ilvl w:val="0"/>
          <w:numId w:val="2"/>
        </w:numPr>
        <w:spacing w:before="40" w:after="40"/>
      </w:pPr>
      <w:r>
        <w:rPr>
          <w:rFonts w:ascii="Arial" w:cs="Arial" w:eastAsia="Arial" w:hAnsi="Arial"/>
          <w:color w:val="2C3E50"/>
          <w:sz w:val="22"/>
          <w:szCs w:val="22"/>
        </w:rPr>
        <w:t xml:space="preserve">Pureza fenotípica ≥95% en los 3 linajes ✔ (resultado: 100.0% en los 3 protocolos)</w:t>
      </w:r>
    </w:p>
    <w:p>
      <w:pPr>
        <w:pStyle w:val="ListParagraph"/>
        <w:numPr>
          <w:ilvl w:val="0"/>
          <w:numId w:val="2"/>
        </w:numPr>
        <w:spacing w:before="40" w:after="40"/>
      </w:pPr>
      <w:r>
        <w:rPr>
          <w:rFonts w:ascii="Arial" w:cs="Arial" w:eastAsia="Arial" w:hAnsi="Arial"/>
          <w:color w:val="2C3E50"/>
          <w:sz w:val="22"/>
          <w:szCs w:val="22"/>
        </w:rPr>
        <w:t xml:space="preserve">Ventana óptima de bioimpresión calculada por linaje ✔ (días ~16–30)</w:t>
      </w:r>
    </w:p>
    <w:p>
      <w:pPr>
        <w:pStyle w:val="ListParagraph"/>
        <w:numPr>
          <w:ilvl w:val="0"/>
          <w:numId w:val="2"/>
        </w:numPr>
        <w:spacing w:before="40" w:after="40"/>
      </w:pPr>
      <w:r>
        <w:rPr>
          <w:rFonts w:ascii="Arial" w:cs="Arial" w:eastAsia="Arial" w:hAnsi="Arial"/>
          <w:color w:val="2C3E50"/>
          <w:sz w:val="22"/>
          <w:szCs w:val="22"/>
        </w:rPr>
        <w:t xml:space="preserve">Riesgo de teratoma evaluado ✔ (0.000% desde el día 14)</w:t>
      </w:r>
    </w:p>
    <w:p>
      <w:pPr>
        <w:pStyle w:val="ListParagraph"/>
        <w:numPr>
          <w:ilvl w:val="0"/>
          <w:numId w:val="2"/>
        </w:numPr>
        <w:spacing w:before="40" w:after="40"/>
      </w:pPr>
      <w:r>
        <w:rPr>
          <w:rFonts w:ascii="Arial" w:cs="Arial" w:eastAsia="Arial" w:hAnsi="Arial"/>
          <w:color w:val="2C3E50"/>
          <w:sz w:val="22"/>
          <w:szCs w:val="22"/>
        </w:rPr>
        <w:t xml:space="preserve">Dosis óptimas de factores de señalización documentadas ✔</w:t>
      </w:r>
    </w:p>
    <w:p>
      <w:pPr>
        <w:pStyle w:val="ListParagraph"/>
        <w:numPr>
          <w:ilvl w:val="0"/>
          <w:numId w:val="2"/>
        </w:numPr>
        <w:spacing w:before="40" w:after="40"/>
      </w:pPr>
      <w:r>
        <w:rPr>
          <w:rFonts w:ascii="Arial" w:cs="Arial" w:eastAsia="Arial" w:hAnsi="Arial"/>
          <w:color w:val="2C3E50"/>
          <w:sz w:val="22"/>
          <w:szCs w:val="22"/>
        </w:rPr>
        <w:t xml:space="preserve">Integración con estilo visual del proyecto completada ✔</w:t>
      </w:r>
    </w:p>
    <w:p>
      <w:pPr>
        <w:spacing w:before="120" w:after="0"/>
      </w:pPr>
      <w:r>
        <w:t xml:space="preserve"/>
      </w:r>
    </w:p>
    <w:p>
      <w:pPr>
        <w:spacing w:before="60" w:after="100"/>
      </w:pPr>
      <w:r>
        <w:rPr>
          <w:rFonts w:ascii="Arial" w:cs="Arial" w:eastAsia="Arial" w:hAnsi="Arial"/>
          <w:b w:val="false"/>
          <w:bCs w:val="false"/>
          <w:color w:val="2C3E50"/>
          <w:sz w:val="22"/>
          <w:szCs w:val="22"/>
        </w:rPr>
        <w:t xml:space="preserve">El pipeline in silico del proyecto Bio-Kidney AI 2026 avanza al 52% de completación. Cada módulo completado acerca al objetivo final: la validación computacional completa del protocolo de bioimpresión renal, un paso previo necesario antes de cualquier implementación física en laboratorio.</w:t>
      </w:r>
    </w:p>
    <w:p>
      <w:pPr>
        <w:spacing w:before="200" w:after="0"/>
      </w:pPr>
      <w:r>
        <w:t xml:space="preserve"/>
      </w:r>
    </w:p>
    <w:p>
      <w:pPr>
        <w:pBdr>
          <w:top w:val="single" w:color="148F77" w:sz="6" w:space="8"/>
          <w:bottom w:val="single" w:color="148F77" w:sz="6" w:space="8"/>
        </w:pBdr>
        <w:spacing w:before="160" w:after="160"/>
        <w:jc w:val="center"/>
      </w:pPr>
      <w:r>
        <w:rPr>
          <w:rFonts w:ascii="Arial" w:cs="Arial" w:eastAsia="Arial" w:hAnsi="Arial"/>
          <w:b/>
          <w:bCs/>
          <w:i/>
          <w:iCs/>
          <w:color w:val="0D3B6E"/>
          <w:sz w:val="24"/>
          <w:szCs w:val="24"/>
        </w:rPr>
        <w:t xml:space="preserve">"La ciencia no espera.  El riñón tampoco."  —  VirtusSapiens</w:t>
      </w:r>
    </w:p>
    <w:p>
      <w:pPr>
        <w:spacing w:before="100" w:after="0"/>
      </w:pPr>
      <w:r>
        <w:t xml:space="preserve"/>
      </w:r>
    </w:p>
    <w:p>
      <w:pPr>
        <w:jc w:val="right"/>
      </w:pPr>
      <w:r>
        <w:rPr>
          <w:rFonts w:ascii="Arial" w:cs="Arial" w:eastAsia="Arial" w:hAnsi="Arial"/>
          <w:i/>
          <w:iCs/>
          <w:color w:val="7F8C8D"/>
          <w:sz w:val="20"/>
          <w:szCs w:val="20"/>
        </w:rPr>
        <w:t xml:space="preserve">Carlos David Moreno Cáceres  —  Medellín, Marzo 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6E" w:sz="4" w:space="4"/>
      </w:pBdr>
      <w:tabs>
        <w:tab w:val="right" w:pos="9360"/>
      </w:tabs>
      <w:spacing w:before="80"/>
    </w:pPr>
    <w:r>
      <w:rPr>
        <w:rFonts w:ascii="Arial" w:cs="Arial" w:eastAsia="Arial" w:hAnsi="Arial"/>
        <w:color w:val="7F8C8D"/>
        <w:sz w:val="16"/>
        <w:szCs w:val="16"/>
      </w:rPr>
      <w:t xml:space="preserve">Carlos David Moreno Cáceres  ·  Medellín, Colombia  ·  Marzo 2026</w:t>
    </w:r>
    <w:r>
      <w:rPr>
        <w:rFonts w:ascii="Arial" w:cs="Arial" w:eastAsia="Arial" w:hAnsi="Arial"/>
        <w:color w:val="7F8C8D"/>
        <w:sz w:val="16"/>
        <w:szCs w:val="16"/>
      </w:rPr>
      <w:t xml:space="preserve">	Página </w:t>
    </w:r>
    <w:r>
      <w:rPr>
        <w:rFonts w:ascii="Arial" w:cs="Arial" w:eastAsia="Arial" w:hAnsi="Arial"/>
        <w:color w:val="7F8C8D"/>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6" w:space="4"/>
      </w:pBdr>
      <w:tabs>
        <w:tab w:val="right" w:pos="9360"/>
      </w:tabs>
      <w:spacing w:after="0"/>
    </w:pPr>
    <w:r>
      <w:rPr>
        <w:rFonts w:ascii="Arial" w:cs="Arial" w:eastAsia="Arial" w:hAnsi="Arial"/>
        <w:b/>
        <w:bCs/>
        <w:color w:val="0D3B6E"/>
        <w:sz w:val="18"/>
        <w:szCs w:val="18"/>
      </w:rPr>
      <w:t xml:space="preserve">Bio-Kidney AI 2026  ·  VirtusSapiens</w:t>
    </w:r>
    <w:r>
      <w:rPr>
        <w:rFonts w:ascii="Arial" w:cs="Arial" w:eastAsia="Arial" w:hAnsi="Arial"/>
      </w:rPr>
      <w:t xml:space="preserve">	</w:t>
    </w:r>
    <w:r>
      <w:rPr>
        <w:rFonts w:ascii="Arial" w:cs="Arial" w:eastAsia="Arial" w:hAnsi="Arial"/>
        <w:color w:val="7F8C8D"/>
        <w:sz w:val="16"/>
        <w:szCs w:val="16"/>
      </w:rPr>
      <w:t xml:space="preserve">Informe de Avance — Simulador de Diferenciación iPSC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3B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48F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2026-03-25T21:12:12.509Z</dcterms:created>
  <dcterms:modified xsi:type="dcterms:W3CDTF">2026-03-25T21:12:12.510Z</dcterms:modified>
</cp:coreProperties>
</file>

<file path=docProps/custom.xml><?xml version="1.0" encoding="utf-8"?>
<Properties xmlns="http://schemas.openxmlformats.org/officeDocument/2006/custom-properties" xmlns:vt="http://schemas.openxmlformats.org/officeDocument/2006/docPropsVTypes"/>
</file>