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7a6c4940d46021deb44f27744049d5a11a0139"/>
    <w:p>
      <w:pPr>
        <w:pStyle w:val="Heading1"/>
      </w:pPr>
      <w:r>
        <w:t xml:space="preserve">Bio-Kidney AI 2026: A Novel Multi-Scale Computational Framework for In-Silico Validation of a Functional Bioprinted Human Kidney</w:t>
      </w:r>
    </w:p>
    <w:p>
      <w:pPr>
        <w:pStyle w:val="FirstParagraph"/>
      </w:pPr>
      <w:r>
        <w:rPr>
          <w:bCs/>
          <w:b/>
        </w:rPr>
        <w:t xml:space="preserve">Authors:</w:t>
      </w:r>
      <w:r>
        <w:t xml:space="preserve"> </w:t>
      </w:r>
      <w:r>
        <w:t xml:space="preserve">Carlos David Moreno Cáceres</w:t>
      </w:r>
      <w:r>
        <w:t xml:space="preserve"> </w:t>
      </w:r>
      <w:r>
        <w:rPr>
          <w:bCs/>
          <w:b/>
        </w:rPr>
        <w:t xml:space="preserve">Affiliation:</w:t>
      </w:r>
      <w:r>
        <w:t xml:space="preserve"> </w:t>
      </w:r>
      <w:r>
        <w:t xml:space="preserve">Independent Researcher — VirtusSapiens, Medellín, Colombia</w:t>
      </w:r>
      <w:r>
        <w:t xml:space="preserve"> </w:t>
      </w:r>
      <w:r>
        <w:rPr>
          <w:bCs/>
          <w:b/>
        </w:rPr>
        <w:t xml:space="preserve">ORCID:</w:t>
      </w:r>
      <w:r>
        <w:t xml:space="preserve"> </w:t>
      </w:r>
      <w:r>
        <w:t xml:space="preserve">0009-0005-3933-5072</w:t>
      </w:r>
      <w:r>
        <w:t xml:space="preserve"> </w:t>
      </w:r>
      <w:r>
        <w:rPr>
          <w:bCs/>
          <w:b/>
        </w:rPr>
        <w:t xml:space="preserve">Date:</w:t>
      </w:r>
      <w:r>
        <w:t xml:space="preserve"> </w:t>
      </w:r>
      <w:r>
        <w:t xml:space="preserve">March 2026</w:t>
      </w:r>
    </w:p>
    <w:p>
      <w:r>
        <w:pict>
          <v:rect style="width:0;height:1.5pt" o:hralign="center" o:hrstd="t" o:hr="t"/>
        </w:pict>
      </w:r>
    </w:p>
    <w:bookmarkStart w:id="20" w:name="abstract"/>
    <w:p>
      <w:pPr>
        <w:pStyle w:val="Heading2"/>
      </w:pPr>
      <w:r>
        <w:t xml:space="preserve">Abstract</w:t>
      </w:r>
    </w:p>
    <w:p>
      <w:pPr>
        <w:pStyle w:val="FirstParagraph"/>
      </w:pPr>
      <w:r>
        <w:t xml:space="preserve">Chronic kidney disease (CKD) affects over 850 million people worldwide, with end-stage renal disease (ESRD) requiring lifelong dialysis or organ transplantation. The critical shortage of donor organs and the inherent limitations of dialysis demand alternative therapeutic strategies. Bioprinted kidneys using induced pluripotent stem cells (iPSCs) represent a promising avenue; however, no validated computational framework currently exists to predict full functional viability prior to fabrication.</w:t>
      </w:r>
    </w:p>
    <w:p>
      <w:pPr>
        <w:pStyle w:val="BodyText"/>
      </w:pPr>
      <w:r>
        <w:t xml:space="preserve">This work presents Bio-Kidney AI 2026, a novel multi-scale in-silico framework integrating six biophysical simulation modules: (1) vascular tree generation via Constructive Constrained Optimization (CCO v7) with Murray’s Law compliance, (2) oxygen diffusion modeled by the Krogh cylinder with Successive Over-Relaxation (SOR), (3) iPSC differentiation kinetics following the Takasato 2015 protocol, (4) Co-SWIFT bioprinting optimization using Herschel-Bulkley rheology and Pareto multi-objective analysis, (5) glomerular filtration via Starling-Deen equations, and (6) tubular reabsorption modeled with Michaelis-Menten kinetics and Kedem-Katchalsky transport across five nephron segments.</w:t>
      </w:r>
    </w:p>
    <w:p>
      <w:pPr>
        <w:pStyle w:val="BodyText"/>
      </w:pPr>
      <w:r>
        <w:t xml:space="preserve">Full pipeline validation demonstrated functional viability across all six modules. The vascular network achieved complete Murray’s Law compliance (1,448 segments, 100% parenchymal coverage) with zero hypoxic zones (minimum PO2: 5.6 mmHg). iPSC differentiation reached full phenotypic purity across three renal lineages — podocytes, proximal tubule, and loop of Henle — with low teratoma risk (OCT4 &lt; 0.1%). Bioprinting optimization identified 100 Pareto-optimal solutions at 98% post-print cell viability (60 Pa extrusion pressure). Simulated glomerular filtration rate reached 82 mL/min/1.73 m², (CKD Stage 2 equivalent), with tubular reabsorption efficiency of 98.1% and a urine output of 2.19 L/day meeting all six functional criteria.</w:t>
      </w:r>
    </w:p>
    <w:p>
      <w:pPr>
        <w:pStyle w:val="BodyText"/>
      </w:pPr>
      <w:r>
        <w:t xml:space="preserve">The framework is implemented as an open-source Python package with a Mixture of Experts (MoE) architecture, REST API, and Docker deployment, ensuring full reproducibility. These results establish a novel computational foundation for pre-fabrication kidney viability assessment, with direct implications for organ bioengineering, personalized medicine, and the global organ shortage crisis.</w:t>
      </w:r>
    </w:p>
    <w:p>
      <w:r>
        <w:pict>
          <v:rect style="width:0;height:1.5pt" o:hralign="center" o:hrstd="t" o:hr="t"/>
        </w:pic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2026-03-28T03:45:00Z</dcterms:created>
  <dcterms:modified xsi:type="dcterms:W3CDTF">2026-03-28T03:45:00Z</dcterms:modified>
</cp:coreProperties>
</file>

<file path=docProps/custom.xml><?xml version="1.0" encoding="utf-8"?>
<Properties xmlns="http://schemas.openxmlformats.org/officeDocument/2006/custom-properties" xmlns:vt="http://schemas.openxmlformats.org/officeDocument/2006/docPropsVTypes"/>
</file>