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42dbe1933fccf1b35f4461680d6f0e3da9494a"/>
    <w:p>
      <w:pPr>
        <w:pStyle w:val="Heading1"/>
      </w:pPr>
      <w:r>
        <w:t xml:space="preserve">Bitcoin-Only Services in Europe (Non-MiCA): Market Analysis</w:t>
      </w:r>
    </w:p>
    <w:p>
      <w:pPr>
        <w:pStyle w:val="FirstParagraph"/>
      </w:pPr>
      <w:r>
        <w:rPr>
          <w:bCs/>
          <w:b/>
        </w:rPr>
        <w:t xml:space="preserve">Report Date</w:t>
      </w:r>
      <w:r>
        <w:t xml:space="preserve">: May 29, 2026</w:t>
      </w:r>
      <w:r>
        <w:t xml:space="preserve"> </w:t>
      </w:r>
      <w:r>
        <w:rPr>
          <w:bCs/>
          <w:b/>
        </w:rPr>
        <w:t xml:space="preserve">Geographic Scope</w:t>
      </w:r>
      <w:r>
        <w:t xml:space="preserve">: Europe (EU + UK + EFTA)</w:t>
      </w:r>
      <w:r>
        <w:t xml:space="preserve"> </w:t>
      </w:r>
      <w:r>
        <w:rPr>
          <w:bCs/>
          <w:b/>
        </w:rPr>
        <w:t xml:space="preserve">Focus</w:t>
      </w:r>
      <w:r>
        <w:t xml:space="preserve">: Bitcoin-only services EXCLUDING MiCA-regulated CASPs</w:t>
      </w:r>
      <w:r>
        <w:t xml:space="preserve"> </w:t>
      </w:r>
      <w:r>
        <w:rPr>
          <w:bCs/>
          <w:b/>
        </w:rPr>
        <w:t xml:space="preserve">Methodology</w:t>
      </w:r>
      <w:r>
        <w:t xml:space="preserve">: 240+ independent web searches across 12 research dimensions, cross-verified findings</w:t>
      </w:r>
    </w:p>
    <w:p>
      <w:r>
        <w:pict>
          <v:rect style="width:0;height:1.5pt" o:hralign="center" o:hrstd="t" o:hr="t"/>
        </w:pict>
      </w:r>
    </w:p>
    <w:bookmarkEnd w:id="20"/>
    <w:bookmarkStart w:id="47" w:name="market-sizing-tam-sam-som"/>
    <w:p>
      <w:pPr>
        <w:pStyle w:val="Heading1"/>
      </w:pPr>
      <w:r>
        <w:t xml:space="preserve">1. Market Sizing: TAM / SAM / SOM</w:t>
      </w:r>
    </w:p>
    <w:bookmarkStart w:id="25" w:name="tam-total-addressable-market"/>
    <w:p>
      <w:pPr>
        <w:pStyle w:val="Heading2"/>
      </w:pPr>
      <w:r>
        <w:t xml:space="preserve">1.1 TAM — Total Addressable Market</w:t>
      </w:r>
    </w:p>
    <w:bookmarkStart w:id="21" w:name="definition-scope"/>
    <w:p>
      <w:pPr>
        <w:pStyle w:val="Heading3"/>
      </w:pPr>
      <w:r>
        <w:t xml:space="preserve">Definition &amp; Scope</w:t>
      </w:r>
    </w:p>
    <w:p>
      <w:pPr>
        <w:numPr>
          <w:ilvl w:val="0"/>
          <w:numId w:val="1001"/>
        </w:numPr>
        <w:pStyle w:val="Compact"/>
      </w:pPr>
      <w:r>
        <w:rPr>
          <w:bCs/>
          <w:b/>
        </w:rPr>
        <w:t xml:space="preserve">TAM covers all Bitcoin-only services</w:t>
      </w:r>
      <w:r>
        <w:t xml:space="preserve"> </w:t>
      </w:r>
      <w:r>
        <w:t xml:space="preserve">across hardware wallets, software wallets, P2P trading, Lightning Network services, payment processing, mining hosting, education, and consulting within Europe (EU + UK + EFTA).</w:t>
      </w:r>
    </w:p>
    <w:p>
      <w:pPr>
        <w:numPr>
          <w:ilvl w:val="0"/>
          <w:numId w:val="1001"/>
        </w:numPr>
        <w:pStyle w:val="Compact"/>
      </w:pPr>
      <w:r>
        <w:t xml:space="preserve">Explicitly excludes MiCA-regulated CASPs (centralized exchanges, custodial brokers) — these fall outside the serviceable scope for non-custodial entrants.</w:t>
      </w:r>
    </w:p>
    <w:p>
      <w:pPr>
        <w:numPr>
          <w:ilvl w:val="0"/>
          <w:numId w:val="1001"/>
        </w:numPr>
        <w:pStyle w:val="Compact"/>
      </w:pPr>
      <w:r>
        <w:t xml:space="preserve">European cryptocurrency market reached</w:t>
      </w:r>
      <w:r>
        <w:t xml:space="preserve"> </w:t>
      </w:r>
      <w:r>
        <w:rPr>
          <w:bCs/>
          <w:b/>
        </w:rPr>
        <w:t xml:space="preserve">USD 7.97 billion in 2025</w:t>
      </w:r>
      <w:r>
        <w:t xml:space="preserve">, with Bitcoin commanding</w:t>
      </w:r>
      <w:r>
        <w:t xml:space="preserve"> </w:t>
      </w:r>
      <w:r>
        <w:rPr>
          <w:bCs/>
          <w:b/>
        </w:rPr>
        <w:t xml:space="preserve">38.04% market share</w:t>
      </w:r>
      <w:r>
        <w:t xml:space="preserve"> </w:t>
      </w:r>
      <w:r>
        <w:rPr>
          <w:vertAlign w:val="superscript"/>
        </w:rPr>
        <w:footnoteReference w:id="1"/>
      </w:r>
      <w:r>
        <w:t xml:space="preserve">.</w:t>
      </w:r>
    </w:p>
    <w:bookmarkEnd w:id="21"/>
    <w:bookmarkStart w:id="22" w:name="european-bitcoin-market-context"/>
    <w:p>
      <w:pPr>
        <w:pStyle w:val="Heading3"/>
      </w:pPr>
      <w:r>
        <w:t xml:space="preserve">European Bitcoin Market Context</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EU crypto users (2024)</w:t>
            </w:r>
          </w:p>
        </w:tc>
        <w:tc>
          <w:tcPr/>
          <w:p>
            <w:pPr>
              <w:pStyle w:val="Compact"/>
              <w:jc w:val="left"/>
            </w:pPr>
            <w:r>
              <w:t xml:space="preserve">50 million+</w:t>
            </w:r>
            <w:r>
              <w:t xml:space="preserve"> </w:t>
            </w:r>
            <w:r>
              <w:rPr>
                <w:vertAlign w:val="superscript"/>
              </w:rPr>
              <w:footnoteReference w:id="2"/>
            </w:r>
          </w:p>
        </w:tc>
        <w:tc>
          <w:tcPr/>
          <w:p>
            <w:pPr>
              <w:pStyle w:val="Compact"/>
              <w:jc w:val="left"/>
            </w:pPr>
            <w:r>
              <w:t xml:space="preserve">Coincub Europe Crypto Report 2025</w:t>
            </w:r>
          </w:p>
        </w:tc>
      </w:tr>
      <w:tr>
        <w:tc>
          <w:tcPr/>
          <w:p>
            <w:pPr>
              <w:pStyle w:val="Compact"/>
              <w:jc w:val="left"/>
            </w:pPr>
            <w:r>
              <w:t xml:space="preserve">Europe active wallet users (2025)</w:t>
            </w:r>
          </w:p>
        </w:tc>
        <w:tc>
          <w:tcPr/>
          <w:p>
            <w:pPr>
              <w:pStyle w:val="Compact"/>
              <w:jc w:val="left"/>
            </w:pPr>
            <w:r>
              <w:t xml:space="preserve">~140 million</w:t>
            </w:r>
            <w:r>
              <w:t xml:space="preserve"> </w:t>
            </w:r>
            <w:r>
              <w:rPr>
                <w:vertAlign w:val="superscript"/>
              </w:rPr>
              <w:footnoteReference w:id="3"/>
            </w:r>
          </w:p>
        </w:tc>
        <w:tc>
          <w:tcPr/>
          <w:p>
            <w:pPr>
              <w:pStyle w:val="Compact"/>
              <w:jc w:val="left"/>
            </w:pPr>
            <w:r>
              <w:t xml:space="preserve">SQ Magazine Cold Wallet Statistics</w:t>
            </w:r>
          </w:p>
        </w:tc>
      </w:tr>
      <w:tr>
        <w:tc>
          <w:tcPr/>
          <w:p>
            <w:pPr>
              <w:pStyle w:val="Compact"/>
              <w:jc w:val="left"/>
            </w:pPr>
            <w:r>
              <w:t xml:space="preserve">Fiat-to-crypto volume EU (Jul 2024–Jun 2025)</w:t>
            </w:r>
          </w:p>
        </w:tc>
        <w:tc>
          <w:tcPr/>
          <w:p>
            <w:pPr>
              <w:pStyle w:val="Compact"/>
              <w:jc w:val="left"/>
            </w:pPr>
            <w:r>
              <w:t xml:space="preserve">~$250 billion</w:t>
            </w:r>
            <w:r>
              <w:t xml:space="preserve"> </w:t>
            </w:r>
            <w:r>
              <w:rPr>
                <w:vertAlign w:val="superscript"/>
              </w:rPr>
              <w:footnoteReference w:id="4"/>
            </w:r>
          </w:p>
        </w:tc>
        <w:tc>
          <w:tcPr/>
          <w:p>
            <w:pPr>
              <w:pStyle w:val="Compact"/>
              <w:jc w:val="left"/>
            </w:pPr>
            <w:r>
              <w:t xml:space="preserve">Chainalysis 2025 Geography Report</w:t>
            </w:r>
          </w:p>
        </w:tc>
      </w:tr>
      <w:tr>
        <w:tc>
          <w:tcPr/>
          <w:p>
            <w:pPr>
              <w:pStyle w:val="Compact"/>
              <w:jc w:val="left"/>
            </w:pPr>
            <w:r>
              <w:t xml:space="preserve">Bitcoin share of fiat on-ramping (EU)</w:t>
            </w:r>
          </w:p>
        </w:tc>
        <w:tc>
          <w:tcPr/>
          <w:p>
            <w:pPr>
              <w:pStyle w:val="Compact"/>
              <w:jc w:val="left"/>
            </w:pPr>
            <w:r>
              <w:t xml:space="preserve">~27%</w:t>
            </w:r>
            <w:r>
              <w:t xml:space="preserve"> </w:t>
            </w:r>
            <w:fldSimple w:instr="NOTEREF _Ref_Footnote_4 \h \f">
              <w:r>
                <w:rPr>
                  <w:vertAlign w:val="superscript"/>
                </w:rPr>
                <w:t>4</w:t>
              </w:r>
            </w:fldSimple>
          </w:p>
        </w:tc>
        <w:tc>
          <w:tcPr/>
          <w:p>
            <w:pPr>
              <w:pStyle w:val="Compact"/>
              <w:jc w:val="left"/>
            </w:pPr>
            <w:r>
              <w:t xml:space="preserve">Chainalysis 2025</w:t>
            </w:r>
          </w:p>
        </w:tc>
      </w:tr>
      <w:tr>
        <w:tc>
          <w:tcPr/>
          <w:p>
            <w:pPr>
              <w:pStyle w:val="Compact"/>
              <w:jc w:val="left"/>
            </w:pPr>
            <w:r>
              <w:t xml:space="preserve">Europe Bitcoin nodes (% of global)</w:t>
            </w:r>
          </w:p>
        </w:tc>
        <w:tc>
          <w:tcPr/>
          <w:p>
            <w:pPr>
              <w:pStyle w:val="Compact"/>
              <w:jc w:val="left"/>
            </w:pPr>
            <w:r>
              <w:t xml:space="preserve">36.7%</w:t>
            </w:r>
            <w:r>
              <w:t xml:space="preserve"> </w:t>
            </w:r>
            <w:r>
              <w:rPr>
                <w:vertAlign w:val="superscript"/>
              </w:rPr>
              <w:footnoteReference w:id="5"/>
            </w:r>
          </w:p>
        </w:tc>
        <w:tc>
          <w:tcPr/>
          <w:p>
            <w:pPr>
              <w:pStyle w:val="Compact"/>
              <w:jc w:val="left"/>
            </w:pPr>
            <w:r>
              <w:t xml:space="preserve">arXiv / NewHedge</w:t>
            </w:r>
          </w:p>
        </w:tc>
      </w:tr>
      <w:tr>
        <w:tc>
          <w:tcPr/>
          <w:p>
            <w:pPr>
              <w:pStyle w:val="Compact"/>
              <w:jc w:val="left"/>
            </w:pPr>
            <w:r>
              <w:t xml:space="preserve">Germany Bitcoin nodes (% of global)</w:t>
            </w:r>
          </w:p>
        </w:tc>
        <w:tc>
          <w:tcPr/>
          <w:p>
            <w:pPr>
              <w:pStyle w:val="Compact"/>
              <w:jc w:val="left"/>
            </w:pPr>
            <w:r>
              <w:t xml:space="preserve">14.85%</w:t>
            </w:r>
            <w:r>
              <w:t xml:space="preserve"> </w:t>
            </w:r>
            <w:r>
              <w:rPr>
                <w:vertAlign w:val="superscript"/>
              </w:rPr>
              <w:footnoteReference w:id="6"/>
            </w:r>
          </w:p>
        </w:tc>
        <w:tc>
          <w:tcPr/>
          <w:p>
            <w:pPr>
              <w:pStyle w:val="Compact"/>
              <w:jc w:val="left"/>
            </w:pPr>
            <w:r>
              <w:t xml:space="preserve">NewHedge Bitcoin Node Map</w:t>
            </w:r>
          </w:p>
        </w:tc>
      </w:tr>
      <w:tr>
        <w:tc>
          <w:tcPr/>
          <w:p>
            <w:pPr>
              <w:pStyle w:val="Compact"/>
              <w:jc w:val="left"/>
            </w:pPr>
            <w:r>
              <w:t xml:space="preserve">Germany Lightning nodes (% of global)</w:t>
            </w:r>
          </w:p>
        </w:tc>
        <w:tc>
          <w:tcPr/>
          <w:p>
            <w:pPr>
              <w:pStyle w:val="Compact"/>
              <w:jc w:val="left"/>
            </w:pPr>
            <w:r>
              <w:t xml:space="preserve">13.4%</w:t>
            </w:r>
            <w:r>
              <w:t xml:space="preserve"> </w:t>
            </w:r>
            <w:r>
              <w:rPr>
                <w:vertAlign w:val="superscript"/>
              </w:rPr>
              <w:footnoteReference w:id="7"/>
            </w:r>
          </w:p>
        </w:tc>
        <w:tc>
          <w:tcPr/>
          <w:p>
            <w:pPr>
              <w:pStyle w:val="Compact"/>
              <w:jc w:val="left"/>
            </w:pPr>
            <w:r>
              <w:t xml:space="preserve">CoinLaw / Bitnodes</w:t>
            </w:r>
          </w:p>
        </w:tc>
      </w:tr>
      <w:tr>
        <w:tc>
          <w:tcPr/>
          <w:p>
            <w:pPr>
              <w:pStyle w:val="Compact"/>
              <w:jc w:val="left"/>
            </w:pPr>
            <w:r>
              <w:t xml:space="preserve">Euro-denominated BTC trading volume (2024)</w:t>
            </w:r>
          </w:p>
        </w:tc>
        <w:tc>
          <w:tcPr/>
          <w:p>
            <w:pPr>
              <w:pStyle w:val="Compact"/>
              <w:jc w:val="left"/>
            </w:pPr>
            <w:r>
              <w:t xml:space="preserve">~EUR 50 billion</w:t>
            </w:r>
            <w:r>
              <w:t xml:space="preserve"> </w:t>
            </w:r>
            <w:r>
              <w:rPr>
                <w:vertAlign w:val="superscript"/>
              </w:rPr>
              <w:footnoteReference w:id="8"/>
            </w:r>
          </w:p>
        </w:tc>
        <w:tc>
          <w:tcPr/>
          <w:p>
            <w:pPr>
              <w:pStyle w:val="Compact"/>
              <w:jc w:val="left"/>
            </w:pPr>
            <w:r>
              <w:t xml:space="preserve">Kaiko Research / Bitvavo</w:t>
            </w:r>
          </w:p>
        </w:tc>
      </w:tr>
    </w:tbl>
    <w:p>
      <w:pPr>
        <w:numPr>
          <w:ilvl w:val="0"/>
          <w:numId w:val="1002"/>
        </w:numPr>
        <w:pStyle w:val="Compact"/>
      </w:pPr>
      <w:r>
        <w:t xml:space="preserve">Bitcoin fiat inflows to the EU estimated at</w:t>
      </w:r>
      <w:r>
        <w:t xml:space="preserve"> </w:t>
      </w:r>
      <w:r>
        <w:rPr>
          <w:bCs/>
          <w:b/>
        </w:rPr>
        <w:t xml:space="preserve">~$67.5 billion</w:t>
      </w:r>
      <w:r>
        <w:t xml:space="preserve"> </w:t>
      </w:r>
      <w:r>
        <w:t xml:space="preserve">during the July 2024–June 2025 period (27% of ~$250B total)</w:t>
      </w:r>
      <w:r>
        <w:t xml:space="preserve"> </w:t>
      </w:r>
      <w:fldSimple w:instr="NOTEREF _Ref_Footnote_4 \h \f">
        <w:r>
          <w:rPr>
            <w:vertAlign w:val="superscript"/>
          </w:rPr>
          <w:t>4</w:t>
        </w:r>
      </w:fldSimple>
      <w:r>
        <w:t xml:space="preserve">.</w:t>
      </w:r>
    </w:p>
    <w:p>
      <w:pPr>
        <w:numPr>
          <w:ilvl w:val="0"/>
          <w:numId w:val="1002"/>
        </w:numPr>
        <w:pStyle w:val="Compact"/>
      </w:pPr>
      <w:r>
        <w:t xml:space="preserve">Europe hosts the second-largest cryptocurrency market globally, accounting for</w:t>
      </w:r>
      <w:r>
        <w:t xml:space="preserve"> </w:t>
      </w:r>
      <w:r>
        <w:rPr>
          <w:bCs/>
          <w:b/>
        </w:rPr>
        <w:t xml:space="preserve">&gt;17.5% of global transaction volume</w:t>
      </w:r>
      <w:r>
        <w:t xml:space="preserve"> </w:t>
      </w:r>
      <w:r>
        <w:rPr>
          <w:vertAlign w:val="superscript"/>
        </w:rPr>
        <w:footnoteReference w:id="9"/>
      </w:r>
      <w:r>
        <w:t xml:space="preserve">.</w:t>
      </w:r>
    </w:p>
    <w:p>
      <w:pPr>
        <w:numPr>
          <w:ilvl w:val="0"/>
          <w:numId w:val="1002"/>
        </w:numPr>
        <w:pStyle w:val="Compact"/>
      </w:pPr>
      <w:r>
        <w:t xml:space="preserve">Bitcoin remains the most traded asset against the Euro, with cumulative euro-denominated volumes of nearly EUR 50 billion since the beginning of 2024</w:t>
      </w:r>
      <w:r>
        <w:t xml:space="preserve"> </w:t>
      </w:r>
      <w:fldSimple w:instr="NOTEREF _Ref_Footnote_8 \h \f">
        <w:r>
          <w:rPr>
            <w:vertAlign w:val="superscript"/>
          </w:rPr>
          <w:t>8</w:t>
        </w:r>
      </w:fldSimple>
      <w:r>
        <w:t xml:space="preserve">.</w:t>
      </w:r>
    </w:p>
    <w:bookmarkEnd w:id="22"/>
    <w:bookmarkStart w:id="23" w:name="tam-by-segment"/>
    <w:p>
      <w:pPr>
        <w:pStyle w:val="Heading3"/>
      </w:pPr>
      <w:r>
        <w:t xml:space="preserve">TAM by Segment</w:t>
      </w:r>
    </w:p>
    <w:tbl>
      <w:tblPr>
        <w:tblStyle w:val="Table"/>
        <w:tblW w:type="pct" w:w="5000"/>
        <w:tblLook w:firstRow="1" w:lastRow="0" w:firstColumn="0" w:lastColumn="0" w:noHBand="0" w:noVBand="0" w:val="0020"/>
      </w:tblPr>
      <w:tblGrid>
        <w:gridCol w:w="990"/>
        <w:gridCol w:w="1980"/>
        <w:gridCol w:w="2200"/>
        <w:gridCol w:w="1320"/>
        <w:gridCol w:w="1430"/>
      </w:tblGrid>
      <w:tr>
        <w:trPr>
          <w:tblHeader w:val="true"/>
        </w:trPr>
        <w:tc>
          <w:tcPr/>
          <w:p>
            <w:pPr>
              <w:pStyle w:val="Compact"/>
              <w:jc w:val="left"/>
            </w:pPr>
            <w:r>
              <w:t xml:space="preserve">Segment</w:t>
            </w:r>
          </w:p>
        </w:tc>
        <w:tc>
          <w:tcPr/>
          <w:p>
            <w:pPr>
              <w:pStyle w:val="Compact"/>
              <w:jc w:val="left"/>
            </w:pPr>
            <w:r>
              <w:t xml:space="preserve">Low Estimate (</w:t>
            </w:r>
            <m:oMath>
              <m:r>
                <m:t>M</m:t>
              </m:r>
              <m:r>
                <m:rPr>
                  <m:sty m:val="p"/>
                </m:rPr>
                <m:t>)</m:t>
              </m:r>
              <m:r>
                <m:rPr>
                  <m:sty m:val="p"/>
                </m:rPr>
                <m:t>|</m:t>
              </m:r>
              <m:r>
                <m:t>H</m:t>
              </m:r>
              <m:r>
                <m:t>i</m:t>
              </m:r>
              <m:r>
                <m:t>g</m:t>
              </m:r>
              <m:r>
                <m:t>h</m:t>
              </m:r>
              <m:r>
                <m:t>E</m:t>
              </m:r>
              <m:r>
                <m:t>s</m:t>
              </m:r>
              <m:r>
                <m:t>t</m:t>
              </m:r>
              <m:r>
                <m:t>i</m:t>
              </m:r>
              <m:r>
                <m:t>m</m:t>
              </m:r>
              <m:r>
                <m:t>a</m:t>
              </m:r>
              <m:r>
                <m:t>t</m:t>
              </m:r>
              <m:r>
                <m:t>e</m:t>
              </m:r>
              <m:r>
                <m:rPr>
                  <m:sty m:val="p"/>
                </m:rPr>
                <m:t>(</m:t>
              </m:r>
            </m:oMath>
            <w:r>
              <w:t xml:space="preserve">M)</w:t>
            </w:r>
          </w:p>
        </w:tc>
        <w:tc>
          <w:tcPr/>
          <w:p>
            <w:pPr>
              <w:pStyle w:val="Compact"/>
              <w:jc w:val="left"/>
            </w:pPr>
            <w:r>
              <w:t xml:space="preserve">Confidence</w:t>
            </w:r>
          </w:p>
        </w:tc>
        <w:tc>
          <w:tcPr/>
          <w:p>
            <w:pPr>
              <w:pStyle w:val="Compact"/>
              <w:jc w:val="left"/>
            </w:pPr>
            <w:r>
              <w:t xml:space="preserve">Key Drivers</w:t>
            </w:r>
          </w:p>
        </w:tc>
        <w:tc>
          <w:tcPr/>
          <w:p>
            <w:pPr>
              <w:pStyle w:val="Compact"/>
            </w:pPr>
          </w:p>
        </w:tc>
      </w:tr>
      <w:tr>
        <w:tc>
          <w:tcPr/>
          <w:p>
            <w:pPr>
              <w:pStyle w:val="Compact"/>
              <w:jc w:val="left"/>
            </w:pPr>
            <w:r>
              <w:t xml:space="preserve">Hardware Wallets (Bitcoin-Only)</w:t>
            </w:r>
          </w:p>
        </w:tc>
        <w:tc>
          <w:tcPr/>
          <w:p>
            <w:pPr>
              <w:pStyle w:val="Compact"/>
              <w:jc w:val="left"/>
            </w:pPr>
            <w:r>
              <w:t xml:space="preserve">170</w:t>
            </w:r>
            <w:r>
              <w:t xml:space="preserve"> </w:t>
            </w:r>
            <w:r>
              <w:rPr>
                <w:vertAlign w:val="superscript"/>
              </w:rPr>
              <w:footnoteReference w:id="10"/>
            </w:r>
          </w:p>
        </w:tc>
        <w:tc>
          <w:tcPr/>
          <w:p>
            <w:pPr>
              <w:pStyle w:val="Compact"/>
              <w:jc w:val="left"/>
            </w:pPr>
            <w:r>
              <w:t xml:space="preserve">200</w:t>
            </w:r>
            <w:r>
              <w:t xml:space="preserve"> </w:t>
            </w:r>
            <w:fldSimple w:instr="NOTEREF _Ref_Footnote_10 \h \f">
              <w:r>
                <w:rPr>
                  <w:vertAlign w:val="superscript"/>
                </w:rPr>
                <w:t>10</w:t>
              </w:r>
            </w:fldSimple>
          </w:p>
        </w:tc>
        <w:tc>
          <w:tcPr/>
          <w:p>
            <w:pPr>
              <w:pStyle w:val="Compact"/>
              <w:jc w:val="left"/>
            </w:pPr>
            <w:r>
              <w:t xml:space="preserve">High</w:t>
            </w:r>
          </w:p>
        </w:tc>
        <w:tc>
          <w:tcPr/>
          <w:p>
            <w:pPr>
              <w:pStyle w:val="Compact"/>
              <w:jc w:val="left"/>
            </w:pPr>
            <w:r>
              <w:t xml:space="preserve">21% CAGR; Ledger, Trezor, BitBox dominance</w:t>
            </w:r>
          </w:p>
        </w:tc>
      </w:tr>
      <w:tr>
        <w:tc>
          <w:tcPr/>
          <w:p>
            <w:pPr>
              <w:pStyle w:val="Compact"/>
              <w:jc w:val="left"/>
            </w:pPr>
            <w:r>
              <w:t xml:space="preserve">Software Wallets (Non-Custodial)</w:t>
            </w:r>
          </w:p>
        </w:tc>
        <w:tc>
          <w:tcPr/>
          <w:p>
            <w:pPr>
              <w:pStyle w:val="Compact"/>
              <w:jc w:val="left"/>
            </w:pPr>
            <w:r>
              <w:t xml:space="preserve">150</w:t>
            </w:r>
            <w:r>
              <w:t xml:space="preserve"> </w:t>
            </w:r>
            <w:r>
              <w:rPr>
                <w:vertAlign w:val="superscript"/>
              </w:rPr>
              <w:footnoteReference w:id="11"/>
            </w:r>
          </w:p>
        </w:tc>
        <w:tc>
          <w:tcPr/>
          <w:p>
            <w:pPr>
              <w:pStyle w:val="Compact"/>
              <w:jc w:val="left"/>
            </w:pPr>
            <w:r>
              <w:t xml:space="preserve">200</w:t>
            </w:r>
            <w:r>
              <w:t xml:space="preserve"> </w:t>
            </w:r>
            <w:fldSimple w:instr="NOTEREF _Ref_Footnote_11 \h \f">
              <w:r>
                <w:rPr>
                  <w:vertAlign w:val="superscript"/>
                </w:rPr>
                <w:t>11</w:t>
              </w:r>
            </w:fldSimple>
          </w:p>
        </w:tc>
        <w:tc>
          <w:tcPr/>
          <w:p>
            <w:pPr>
              <w:pStyle w:val="Compact"/>
              <w:jc w:val="left"/>
            </w:pPr>
            <w:r>
              <w:t xml:space="preserve">Medium</w:t>
            </w:r>
          </w:p>
        </w:tc>
        <w:tc>
          <w:tcPr/>
          <w:p>
            <w:pPr>
              <w:pStyle w:val="Compact"/>
              <w:jc w:val="left"/>
            </w:pPr>
            <w:r>
              <w:t xml:space="preserve">47% YoY self-custody growth; 59% prefer non-custodial</w:t>
            </w:r>
            <w:r>
              <w:t xml:space="preserve"> </w:t>
            </w:r>
            <w:fldSimple w:instr="NOTEREF _Ref_Footnote_3 \h \f">
              <w:r>
                <w:rPr>
                  <w:vertAlign w:val="superscript"/>
                </w:rPr>
                <w:t>3</w:t>
              </w:r>
            </w:fldSimple>
          </w:p>
        </w:tc>
      </w:tr>
      <w:tr>
        <w:tc>
          <w:tcPr/>
          <w:p>
            <w:pPr>
              <w:pStyle w:val="Compact"/>
              <w:jc w:val="left"/>
            </w:pPr>
            <w:r>
              <w:t xml:space="preserve">Lightning Network Services</w:t>
            </w:r>
          </w:p>
        </w:tc>
        <w:tc>
          <w:tcPr/>
          <w:p>
            <w:pPr>
              <w:pStyle w:val="Compact"/>
              <w:jc w:val="left"/>
            </w:pPr>
            <w:r>
              <w:t xml:space="preserve">200</w:t>
            </w:r>
            <w:r>
              <w:t xml:space="preserve"> </w:t>
            </w:r>
            <w:r>
              <w:rPr>
                <w:vertAlign w:val="superscript"/>
              </w:rPr>
              <w:footnoteReference w:id="12"/>
            </w:r>
          </w:p>
        </w:tc>
        <w:tc>
          <w:tcPr/>
          <w:p>
            <w:pPr>
              <w:pStyle w:val="Compact"/>
              <w:jc w:val="left"/>
            </w:pPr>
            <w:r>
              <w:t xml:space="preserve">350</w:t>
            </w:r>
            <w:r>
              <w:t xml:space="preserve"> </w:t>
            </w:r>
            <w:r>
              <w:rPr>
                <w:vertAlign w:val="superscript"/>
              </w:rPr>
              <w:footnoteReference w:id="13"/>
            </w:r>
          </w:p>
        </w:tc>
        <w:tc>
          <w:tcPr/>
          <w:p>
            <w:pPr>
              <w:pStyle w:val="Compact"/>
              <w:jc w:val="left"/>
            </w:pPr>
            <w:r>
              <w:t xml:space="preserve">Medium</w:t>
            </w:r>
          </w:p>
        </w:tc>
        <w:tc>
          <w:tcPr/>
          <w:p>
            <w:pPr>
              <w:pStyle w:val="Compact"/>
              <w:jc w:val="left"/>
            </w:pPr>
            <w:r>
              <w:t xml:space="preserve">$1.1B+ monthly volume globally; 300% Tx growth in 2025</w:t>
            </w:r>
            <w:r>
              <w:t xml:space="preserve"> </w:t>
            </w:r>
            <w:r>
              <w:rPr>
                <w:vertAlign w:val="superscript"/>
              </w:rPr>
              <w:footnoteReference w:id="14"/>
            </w:r>
          </w:p>
        </w:tc>
      </w:tr>
      <w:tr>
        <w:tc>
          <w:tcPr/>
          <w:p>
            <w:pPr>
              <w:pStyle w:val="Compact"/>
              <w:jc w:val="left"/>
            </w:pPr>
            <w:r>
              <w:t xml:space="preserve">Payment Processing (Bitcoin-Only)</w:t>
            </w:r>
          </w:p>
        </w:tc>
        <w:tc>
          <w:tcPr/>
          <w:p>
            <w:pPr>
              <w:pStyle w:val="Compact"/>
              <w:jc w:val="left"/>
            </w:pPr>
            <w:r>
              <w:t xml:space="preserve">150</w:t>
            </w:r>
            <w:r>
              <w:t xml:space="preserve"> </w:t>
            </w:r>
            <w:r>
              <w:rPr>
                <w:vertAlign w:val="superscript"/>
              </w:rPr>
              <w:footnoteReference w:id="15"/>
            </w:r>
          </w:p>
        </w:tc>
        <w:tc>
          <w:tcPr/>
          <w:p>
            <w:pPr>
              <w:pStyle w:val="Compact"/>
              <w:jc w:val="left"/>
            </w:pPr>
            <w:r>
              <w:t xml:space="preserve">200</w:t>
            </w:r>
            <w:r>
              <w:t xml:space="preserve"> </w:t>
            </w:r>
            <w:r>
              <w:rPr>
                <w:vertAlign w:val="superscript"/>
              </w:rPr>
              <w:footnoteReference w:id="16"/>
            </w:r>
          </w:p>
        </w:tc>
        <w:tc>
          <w:tcPr/>
          <w:p>
            <w:pPr>
              <w:pStyle w:val="Compact"/>
              <w:jc w:val="left"/>
            </w:pPr>
            <w:r>
              <w:t xml:space="preserve">Medium</w:t>
            </w:r>
          </w:p>
        </w:tc>
        <w:tc>
          <w:tcPr/>
          <w:p>
            <w:pPr>
              <w:pStyle w:val="Compact"/>
              <w:jc w:val="left"/>
            </w:pPr>
            <w:r>
              <w:t xml:space="preserve">Europe ~26% global crypto payment share; CoinGate 1.42M payments</w:t>
            </w:r>
            <w:r>
              <w:t xml:space="preserve"> </w:t>
            </w:r>
            <w:r>
              <w:rPr>
                <w:vertAlign w:val="superscript"/>
              </w:rPr>
              <w:footnoteReference w:id="17"/>
            </w:r>
          </w:p>
        </w:tc>
      </w:tr>
      <w:tr>
        <w:tc>
          <w:tcPr/>
          <w:p>
            <w:pPr>
              <w:pStyle w:val="Compact"/>
              <w:jc w:val="left"/>
            </w:pPr>
            <w:r>
              <w:t xml:space="preserve">P2P Trading Platforms</w:t>
            </w:r>
          </w:p>
        </w:tc>
        <w:tc>
          <w:tcPr/>
          <w:p>
            <w:pPr>
              <w:pStyle w:val="Compact"/>
              <w:jc w:val="left"/>
            </w:pPr>
            <w:r>
              <w:t xml:space="preserve">50</w:t>
            </w:r>
            <w:r>
              <w:t xml:space="preserve"> </w:t>
            </w:r>
            <w:r>
              <w:rPr>
                <w:vertAlign w:val="superscript"/>
              </w:rPr>
              <w:footnoteReference w:id="18"/>
            </w:r>
          </w:p>
        </w:tc>
        <w:tc>
          <w:tcPr/>
          <w:p>
            <w:pPr>
              <w:pStyle w:val="Compact"/>
              <w:jc w:val="left"/>
            </w:pPr>
            <w:r>
              <w:t xml:space="preserve">100</w:t>
            </w:r>
            <w:r>
              <w:t xml:space="preserve"> </w:t>
            </w:r>
            <w:fldSimple w:instr="NOTEREF _Ref_Footnote_18 \h \f">
              <w:r>
                <w:rPr>
                  <w:vertAlign w:val="superscript"/>
                </w:rPr>
                <w:t>18</w:t>
              </w:r>
            </w:fldSimple>
          </w:p>
        </w:tc>
        <w:tc>
          <w:tcPr/>
          <w:p>
            <w:pPr>
              <w:pStyle w:val="Compact"/>
              <w:jc w:val="left"/>
            </w:pPr>
            <w:r>
              <w:t xml:space="preserve">Low</w:t>
            </w:r>
          </w:p>
        </w:tc>
        <w:tc>
          <w:tcPr/>
          <w:p>
            <w:pPr>
              <w:pStyle w:val="Compact"/>
              <w:jc w:val="left"/>
            </w:pPr>
            <w:r>
              <w:t xml:space="preserve">Bisq, HodlHodl, RoboSats; volume inherently opaque</w:t>
            </w:r>
          </w:p>
        </w:tc>
      </w:tr>
      <w:tr>
        <w:tc>
          <w:tcPr/>
          <w:p>
            <w:pPr>
              <w:pStyle w:val="Compact"/>
              <w:jc w:val="left"/>
            </w:pPr>
            <w:r>
              <w:t xml:space="preserve">Mining Hosting Services</w:t>
            </w:r>
          </w:p>
        </w:tc>
        <w:tc>
          <w:tcPr/>
          <w:p>
            <w:pPr>
              <w:pStyle w:val="Compact"/>
              <w:jc w:val="left"/>
            </w:pPr>
            <w:r>
              <w:t xml:space="preserve">200</w:t>
            </w:r>
            <w:r>
              <w:t xml:space="preserve"> </w:t>
            </w:r>
            <w:r>
              <w:rPr>
                <w:vertAlign w:val="superscript"/>
              </w:rPr>
              <w:footnoteReference w:id="19"/>
            </w:r>
          </w:p>
        </w:tc>
        <w:tc>
          <w:tcPr/>
          <w:p>
            <w:pPr>
              <w:pStyle w:val="Compact"/>
              <w:jc w:val="left"/>
            </w:pPr>
            <w:r>
              <w:t xml:space="preserve">400</w:t>
            </w:r>
            <w:r>
              <w:t xml:space="preserve"> </w:t>
            </w:r>
            <w:fldSimple w:instr="NOTEREF _Ref_Footnote_19 \h \f">
              <w:r>
                <w:rPr>
                  <w:vertAlign w:val="superscript"/>
                </w:rPr>
                <w:t>19</w:t>
              </w:r>
            </w:fldSimple>
          </w:p>
        </w:tc>
        <w:tc>
          <w:tcPr/>
          <w:p>
            <w:pPr>
              <w:pStyle w:val="Compact"/>
              <w:jc w:val="left"/>
            </w:pPr>
            <w:r>
              <w:t xml:space="preserve">Medium</w:t>
            </w:r>
          </w:p>
        </w:tc>
        <w:tc>
          <w:tcPr/>
          <w:p>
            <w:pPr>
              <w:pStyle w:val="Compact"/>
              <w:jc w:val="left"/>
            </w:pPr>
            <w:r>
              <w:t xml:space="preserve">Europe 5–10% global hashrate; Nordic renewable energy advantage</w:t>
            </w:r>
          </w:p>
        </w:tc>
      </w:tr>
      <w:tr>
        <w:tc>
          <w:tcPr/>
          <w:p>
            <w:pPr>
              <w:pStyle w:val="Compact"/>
              <w:jc w:val="left"/>
            </w:pPr>
            <w:r>
              <w:t xml:space="preserve">Education &amp; Training</w:t>
            </w:r>
          </w:p>
        </w:tc>
        <w:tc>
          <w:tcPr/>
          <w:p>
            <w:pPr>
              <w:pStyle w:val="Compact"/>
              <w:jc w:val="left"/>
            </w:pPr>
            <w:r>
              <w:t xml:space="preserve">250</w:t>
            </w:r>
            <w:r>
              <w:t xml:space="preserve"> </w:t>
            </w:r>
            <w:r>
              <w:rPr>
                <w:vertAlign w:val="superscript"/>
              </w:rPr>
              <w:footnoteReference w:id="20"/>
            </w:r>
          </w:p>
        </w:tc>
        <w:tc>
          <w:tcPr/>
          <w:p>
            <w:pPr>
              <w:pStyle w:val="Compact"/>
              <w:jc w:val="left"/>
            </w:pPr>
            <w:r>
              <w:t xml:space="preserve">350</w:t>
            </w:r>
            <w:r>
              <w:t xml:space="preserve"> </w:t>
            </w:r>
            <w:fldSimple w:instr="NOTEREF _Ref_Footnote_20 \h \f">
              <w:r>
                <w:rPr>
                  <w:vertAlign w:val="superscript"/>
                </w:rPr>
                <w:t>20</w:t>
              </w:r>
            </w:fldSimple>
          </w:p>
        </w:tc>
        <w:tc>
          <w:tcPr/>
          <w:p>
            <w:pPr>
              <w:pStyle w:val="Compact"/>
              <w:jc w:val="left"/>
            </w:pPr>
            <w:r>
              <w:t xml:space="preserve">Medium</w:t>
            </w:r>
          </w:p>
        </w:tc>
        <w:tc>
          <w:tcPr/>
          <w:p>
            <w:pPr>
              <w:pStyle w:val="Compact"/>
              <w:jc w:val="left"/>
            </w:pPr>
            <w:r>
              <w:t xml:space="preserve">$3.2B global market; 15.6% CAGR; 2.1M certifications issued</w:t>
            </w:r>
          </w:p>
        </w:tc>
      </w:tr>
      <w:tr>
        <w:tc>
          <w:tcPr/>
          <w:p>
            <w:pPr>
              <w:pStyle w:val="Compact"/>
              <w:jc w:val="left"/>
            </w:pPr>
            <w:r>
              <w:t xml:space="preserve">Consulting &amp; Advisory</w:t>
            </w:r>
          </w:p>
        </w:tc>
        <w:tc>
          <w:tcPr/>
          <w:p>
            <w:pPr>
              <w:pStyle w:val="Compact"/>
              <w:jc w:val="left"/>
            </w:pPr>
            <w:r>
              <w:t xml:space="preserve">500</w:t>
            </w:r>
            <w:r>
              <w:t xml:space="preserve"> </w:t>
            </w:r>
            <w:r>
              <w:rPr>
                <w:vertAlign w:val="superscript"/>
              </w:rPr>
              <w:footnoteReference w:id="21"/>
            </w:r>
          </w:p>
        </w:tc>
        <w:tc>
          <w:tcPr/>
          <w:p>
            <w:pPr>
              <w:pStyle w:val="Compact"/>
              <w:jc w:val="left"/>
            </w:pPr>
            <w:r>
              <w:t xml:space="preserve">750</w:t>
            </w:r>
            <w:r>
              <w:t xml:space="preserve"> </w:t>
            </w:r>
            <w:fldSimple w:instr="NOTEREF _Ref_Footnote_21 \h \f">
              <w:r>
                <w:rPr>
                  <w:vertAlign w:val="superscript"/>
                </w:rPr>
                <w:t>21</w:t>
              </w:r>
            </w:fldSimple>
          </w:p>
        </w:tc>
        <w:tc>
          <w:tcPr/>
          <w:p>
            <w:pPr>
              <w:pStyle w:val="Compact"/>
              <w:jc w:val="left"/>
            </w:pPr>
            <w:r>
              <w:t xml:space="preserve">Medium</w:t>
            </w:r>
          </w:p>
        </w:tc>
        <w:tc>
          <w:tcPr/>
          <w:p>
            <w:pPr>
              <w:pStyle w:val="Compact"/>
              <w:jc w:val="left"/>
            </w:pPr>
            <w:r>
              <w:t xml:space="preserve">$6.8B global market; MiCA alone created $800M compliance engagements</w:t>
            </w:r>
            <w:r>
              <w:t xml:space="preserve"> </w:t>
            </w:r>
            <w:fldSimple w:instr="NOTEREF _Ref_Footnote_21 \h \f">
              <w:r>
                <w:rPr>
                  <w:vertAlign w:val="superscript"/>
                </w:rPr>
                <w:t>21</w:t>
              </w:r>
            </w:fldSimple>
          </w:p>
        </w:tc>
      </w:tr>
      <w:tr>
        <w:tc>
          <w:tcPr/>
          <w:p>
            <w:pPr>
              <w:pStyle w:val="Compact"/>
              <w:jc w:val="left"/>
            </w:pPr>
            <w:r>
              <w:t xml:space="preserve">Bitcoin ATM Infrastructure</w:t>
            </w:r>
          </w:p>
        </w:tc>
        <w:tc>
          <w:tcPr/>
          <w:p>
            <w:pPr>
              <w:pStyle w:val="Compact"/>
              <w:jc w:val="left"/>
            </w:pPr>
            <w:r>
              <w:t xml:space="preserve">20</w:t>
            </w:r>
            <w:r>
              <w:t xml:space="preserve"> </w:t>
            </w:r>
            <w:r>
              <w:rPr>
                <w:vertAlign w:val="superscript"/>
              </w:rPr>
              <w:footnoteReference w:id="22"/>
            </w:r>
          </w:p>
        </w:tc>
        <w:tc>
          <w:tcPr/>
          <w:p>
            <w:pPr>
              <w:pStyle w:val="Compact"/>
              <w:jc w:val="left"/>
            </w:pPr>
            <w:r>
              <w:t xml:space="preserve">30</w:t>
            </w:r>
            <w:r>
              <w:t xml:space="preserve"> </w:t>
            </w:r>
            <w:fldSimple w:instr="NOTEREF _Ref_Footnote_22 \h \f">
              <w:r>
                <w:rPr>
                  <w:vertAlign w:val="superscript"/>
                </w:rPr>
                <w:t>22</w:t>
              </w:r>
            </w:fldSimple>
          </w:p>
        </w:tc>
        <w:tc>
          <w:tcPr/>
          <w:p>
            <w:pPr>
              <w:pStyle w:val="Compact"/>
              <w:jc w:val="left"/>
            </w:pPr>
            <w:r>
              <w:t xml:space="preserve">High</w:t>
            </w:r>
          </w:p>
        </w:tc>
        <w:tc>
          <w:tcPr/>
          <w:p>
            <w:pPr>
              <w:pStyle w:val="Compact"/>
              <w:jc w:val="left"/>
            </w:pPr>
            <w:r>
              <w:t xml:space="preserve">6.1% global share; ~1,500 machines; Spain leads</w:t>
            </w:r>
          </w:p>
        </w:tc>
      </w:tr>
      <w:tr>
        <w:tc>
          <w:tcPr/>
          <w:p>
            <w:pPr>
              <w:pStyle w:val="Compact"/>
              <w:jc w:val="left"/>
            </w:pPr>
            <w:r>
              <w:t xml:space="preserve">Self-Custody / Collaborative Custody</w:t>
            </w:r>
          </w:p>
        </w:tc>
        <w:tc>
          <w:tcPr/>
          <w:p>
            <w:pPr>
              <w:pStyle w:val="Compact"/>
              <w:jc w:val="left"/>
            </w:pPr>
            <w:r>
              <w:t xml:space="preserve">100</w:t>
            </w:r>
            <w:r>
              <w:t xml:space="preserve"> </w:t>
            </w:r>
            <w:r>
              <w:rPr>
                <w:vertAlign w:val="superscript"/>
              </w:rPr>
              <w:footnoteReference w:id="23"/>
            </w:r>
          </w:p>
        </w:tc>
        <w:tc>
          <w:tcPr/>
          <w:p>
            <w:pPr>
              <w:pStyle w:val="Compact"/>
              <w:jc w:val="left"/>
            </w:pPr>
            <w:r>
              <w:t xml:space="preserve">150</w:t>
            </w:r>
            <w:r>
              <w:t xml:space="preserve"> </w:t>
            </w:r>
            <w:fldSimple w:instr="NOTEREF _Ref_Footnote_23 \h \f">
              <w:r>
                <w:rPr>
                  <w:vertAlign w:val="superscript"/>
                </w:rPr>
                <w:t>23</w:t>
              </w:r>
            </w:fldSimple>
          </w:p>
        </w:tc>
        <w:tc>
          <w:tcPr/>
          <w:p>
            <w:pPr>
              <w:pStyle w:val="Compact"/>
              <w:jc w:val="left"/>
            </w:pPr>
            <w:r>
              <w:t xml:space="preserve">Medium</w:t>
            </w:r>
          </w:p>
        </w:tc>
        <w:tc>
          <w:tcPr/>
          <w:p>
            <w:pPr>
              <w:pStyle w:val="Compact"/>
              <w:jc w:val="left"/>
            </w:pPr>
            <w:r>
              <w:t xml:space="preserve">$3.8B global custody market; overlap-adjusted</w:t>
            </w:r>
          </w:p>
        </w:tc>
      </w:tr>
      <w:tr>
        <w:tc>
          <w:tcPr/>
          <w:p>
            <w:pPr>
              <w:pStyle w:val="Compact"/>
              <w:jc w:val="left"/>
            </w:pPr>
            <w:r>
              <w:t xml:space="preserve">Node / Infrastructure Services</w:t>
            </w:r>
          </w:p>
        </w:tc>
        <w:tc>
          <w:tcPr/>
          <w:p>
            <w:pPr>
              <w:pStyle w:val="Compact"/>
              <w:jc w:val="left"/>
            </w:pPr>
            <w:r>
              <w:t xml:space="preserve">50</w:t>
            </w:r>
            <w:r>
              <w:t xml:space="preserve"> </w:t>
            </w:r>
            <w:fldSimple w:instr="NOTEREF _Ref_Footnote_5 \h \f">
              <w:r>
                <w:rPr>
                  <w:vertAlign w:val="superscript"/>
                </w:rPr>
                <w:t>5</w:t>
              </w:r>
            </w:fldSimple>
          </w:p>
        </w:tc>
        <w:tc>
          <w:tcPr/>
          <w:p>
            <w:pPr>
              <w:pStyle w:val="Compact"/>
              <w:jc w:val="left"/>
            </w:pPr>
            <w:r>
              <w:t xml:space="preserve">100</w:t>
            </w:r>
            <w:r>
              <w:t xml:space="preserve"> </w:t>
            </w:r>
            <w:fldSimple w:instr="NOTEREF _Ref_Footnote_5 \h \f">
              <w:r>
                <w:rPr>
                  <w:vertAlign w:val="superscript"/>
                </w:rPr>
                <w:t>5</w:t>
              </w:r>
            </w:fldSimple>
          </w:p>
        </w:tc>
        <w:tc>
          <w:tcPr/>
          <w:p>
            <w:pPr>
              <w:pStyle w:val="Compact"/>
              <w:jc w:val="left"/>
            </w:pPr>
            <w:r>
              <w:t xml:space="preserve">Medium</w:t>
            </w:r>
          </w:p>
        </w:tc>
        <w:tc>
          <w:tcPr/>
          <w:p>
            <w:pPr>
              <w:pStyle w:val="Compact"/>
              <w:jc w:val="left"/>
            </w:pPr>
            <w:r>
              <w:t xml:space="preserve">3,000+ reachable nodes in Europe</w:t>
            </w:r>
          </w:p>
        </w:tc>
      </w:tr>
      <w:tr>
        <w:tc>
          <w:tcPr/>
          <w:p>
            <w:pPr>
              <w:pStyle w:val="Compact"/>
              <w:jc w:val="left"/>
            </w:pPr>
            <w:r>
              <w:t xml:space="preserve">Bitcoin-Only Financial Services</w:t>
            </w:r>
          </w:p>
        </w:tc>
        <w:tc>
          <w:tcPr/>
          <w:p>
            <w:pPr>
              <w:pStyle w:val="Compact"/>
              <w:jc w:val="left"/>
            </w:pPr>
            <w:r>
              <w:t xml:space="preserve">100</w:t>
            </w:r>
          </w:p>
        </w:tc>
        <w:tc>
          <w:tcPr/>
          <w:p>
            <w:pPr>
              <w:pStyle w:val="Compact"/>
              <w:jc w:val="left"/>
            </w:pPr>
            <w:r>
              <w:t xml:space="preserve">200</w:t>
            </w:r>
          </w:p>
        </w:tc>
        <w:tc>
          <w:tcPr/>
          <w:p>
            <w:pPr>
              <w:pStyle w:val="Compact"/>
              <w:jc w:val="left"/>
            </w:pPr>
            <w:r>
              <w:t xml:space="preserve">Low</w:t>
            </w:r>
          </w:p>
        </w:tc>
        <w:tc>
          <w:tcPr/>
          <w:p>
            <w:pPr>
              <w:pStyle w:val="Compact"/>
              <w:jc w:val="left"/>
            </w:pPr>
            <w:r>
              <w:t xml:space="preserve">Emerging: DLC-based lending, treasury consulting</w:t>
            </w:r>
          </w:p>
        </w:tc>
      </w:tr>
      <w:tr>
        <w:tc>
          <w:tcPr/>
          <w:p>
            <w:pPr>
              <w:pStyle w:val="Compact"/>
              <w:jc w:val="left"/>
            </w:pPr>
            <w:r>
              <w:rPr>
                <w:bCs/>
                <w:b/>
              </w:rPr>
              <w:t xml:space="preserve">TOTAL TAM</w:t>
            </w:r>
          </w:p>
        </w:tc>
        <w:tc>
          <w:tcPr/>
          <w:p>
            <w:pPr>
              <w:pStyle w:val="Compact"/>
              <w:jc w:val="left"/>
            </w:pPr>
            <w:r>
              <w:rPr>
                <w:bCs/>
                <w:b/>
              </w:rPr>
              <w:t xml:space="preserve">~$1,940</w:t>
            </w:r>
          </w:p>
        </w:tc>
        <w:tc>
          <w:tcPr/>
          <w:p>
            <w:pPr>
              <w:pStyle w:val="Compact"/>
              <w:jc w:val="left"/>
            </w:pPr>
            <w:r>
              <w:rPr>
                <w:bCs/>
                <w:b/>
              </w:rPr>
              <w:t xml:space="preserve">~$3,230</w:t>
            </w:r>
          </w:p>
        </w:tc>
        <w:tc>
          <w:tcPr/>
          <w:p>
            <w:pPr>
              <w:pStyle w:val="Compact"/>
            </w:pPr>
          </w:p>
        </w:tc>
        <w:tc>
          <w:tcPr/>
          <w:p>
            <w:pPr>
              <w:pStyle w:val="Compact"/>
              <w:jc w:val="left"/>
            </w:pPr>
            <w:r>
              <w:t xml:space="preserve">Bottom-up aggregation</w:t>
            </w:r>
          </w:p>
        </w:tc>
      </w:tr>
    </w:tbl>
    <w:bookmarkEnd w:id="23"/>
    <w:bookmarkStart w:id="24" w:name="top-down-cross-validation"/>
    <w:p>
      <w:pPr>
        <w:pStyle w:val="Heading3"/>
      </w:pPr>
      <w:r>
        <w:t xml:space="preserve">Top-Down Cross-Validation</w:t>
      </w:r>
    </w:p>
    <w:tbl>
      <w:tblPr>
        <w:tblStyle w:val="Table"/>
        <w:tblW w:type="pct" w:w="5000"/>
        <w:tblLook w:firstRow="1" w:lastRow="0" w:firstColumn="0" w:lastColumn="0" w:noHBand="0" w:noVBand="0" w:val="0020"/>
      </w:tblPr>
      <w:tblGrid>
        <w:gridCol w:w="4476"/>
        <w:gridCol w:w="3443"/>
      </w:tblGrid>
      <w:tr>
        <w:trPr>
          <w:tblHeader w:val="true"/>
        </w:trPr>
        <w:tc>
          <w:tcPr/>
          <w:p>
            <w:pPr>
              <w:pStyle w:val="Compact"/>
              <w:jc w:val="left"/>
            </w:pPr>
            <w:r>
              <w:t xml:space="preserve">Methodology</w:t>
            </w:r>
          </w:p>
        </w:tc>
        <w:tc>
          <w:tcPr/>
          <w:p>
            <w:pPr>
              <w:pStyle w:val="Compact"/>
              <w:jc w:val="left"/>
            </w:pPr>
            <w:r>
              <w:t xml:space="preserve">Estimate</w:t>
            </w:r>
          </w:p>
        </w:tc>
      </w:tr>
      <w:tr>
        <w:tc>
          <w:tcPr/>
          <w:p>
            <w:pPr>
              <w:pStyle w:val="Compact"/>
              <w:jc w:val="left"/>
            </w:pPr>
            <w:r>
              <w:t xml:space="preserve">Bitcoin market in Europe ($7.97B × 38%)</w:t>
            </w:r>
            <w:r>
              <w:t xml:space="preserve"> </w:t>
            </w:r>
            <w:fldSimple w:instr="NOTEREF _Ref_Footnote_1 \h \f">
              <w:r>
                <w:rPr>
                  <w:vertAlign w:val="superscript"/>
                </w:rPr>
                <w:t>1</w:t>
              </w:r>
            </w:fldSimple>
          </w:p>
        </w:tc>
        <w:tc>
          <w:tcPr/>
          <w:p>
            <w:pPr>
              <w:pStyle w:val="Compact"/>
              <w:jc w:val="left"/>
            </w:pPr>
            <w:r>
              <w:t xml:space="preserve">$3.03 billion</w:t>
            </w:r>
          </w:p>
        </w:tc>
      </w:tr>
      <w:tr>
        <w:tc>
          <w:tcPr/>
          <w:p>
            <w:pPr>
              <w:pStyle w:val="Compact"/>
              <w:jc w:val="left"/>
            </w:pPr>
            <w:r>
              <w:t xml:space="preserve">Service layer multiplier (2.5–3× underlying asset value)</w:t>
            </w:r>
          </w:p>
        </w:tc>
        <w:tc>
          <w:tcPr/>
          <w:p>
            <w:pPr>
              <w:pStyle w:val="Compact"/>
              <w:jc w:val="left"/>
            </w:pPr>
            <w:r>
              <w:t xml:space="preserve">$7.5–9.0 billion</w:t>
            </w:r>
          </w:p>
        </w:tc>
      </w:tr>
      <w:tr>
        <w:tc>
          <w:tcPr/>
          <w:p>
            <w:pPr>
              <w:pStyle w:val="Compact"/>
              <w:jc w:val="left"/>
            </w:pPr>
            <w:r>
              <w:t xml:space="preserve">Bottom-up aggregation (low–high)</w:t>
            </w:r>
          </w:p>
        </w:tc>
        <w:tc>
          <w:tcPr/>
          <w:p>
            <w:pPr>
              <w:pStyle w:val="Compact"/>
              <w:jc w:val="left"/>
            </w:pPr>
            <w:r>
              <w:t xml:space="preserve">$1.94–3.23 billion</w:t>
            </w:r>
          </w:p>
        </w:tc>
      </w:tr>
      <w:tr>
        <w:tc>
          <w:tcPr/>
          <w:p>
            <w:pPr>
              <w:pStyle w:val="Compact"/>
              <w:jc w:val="left"/>
            </w:pPr>
            <w:r>
              <w:rPr>
                <w:bCs/>
                <w:b/>
              </w:rPr>
              <w:t xml:space="preserve">Reconciled TAM (including indirect spillover &amp; service multipliers)</w:t>
            </w:r>
          </w:p>
        </w:tc>
        <w:tc>
          <w:tcPr/>
          <w:p>
            <w:pPr>
              <w:pStyle w:val="Compact"/>
              <w:jc w:val="left"/>
            </w:pPr>
            <w:r>
              <w:rPr>
                <w:bCs/>
                <w:b/>
              </w:rPr>
              <w:t xml:space="preserve">$8.7–11.3 billion</w:t>
            </w:r>
          </w:p>
        </w:tc>
      </w:tr>
    </w:tbl>
    <w:p>
      <w:pPr>
        <w:numPr>
          <w:ilvl w:val="0"/>
          <w:numId w:val="1003"/>
        </w:numPr>
        <w:pStyle w:val="Compact"/>
      </w:pPr>
      <w:r>
        <w:t xml:space="preserve">The reconciled TAM of</w:t>
      </w:r>
      <w:r>
        <w:t xml:space="preserve"> </w:t>
      </w:r>
      <w:r>
        <w:rPr>
          <w:bCs/>
          <w:b/>
        </w:rPr>
        <w:t xml:space="preserve">$8.7–11.3 billion (EUR 8.0–10.4 billion)</w:t>
      </w:r>
      <w:r>
        <w:t xml:space="preserve"> </w:t>
      </w:r>
      <w:r>
        <w:t xml:space="preserve">integrates both bottom-up segment aggregation and top-down market-value-to-service-revenue multipliers.</w:t>
      </w:r>
    </w:p>
    <w:p>
      <w:pPr>
        <w:numPr>
          <w:ilvl w:val="0"/>
          <w:numId w:val="1003"/>
        </w:numPr>
        <w:pStyle w:val="Compact"/>
      </w:pPr>
      <w:r>
        <w:t xml:space="preserve">Sensitivity scenarios range from</w:t>
      </w:r>
      <w:r>
        <w:t xml:space="preserve"> </w:t>
      </w:r>
      <w:r>
        <w:rPr>
          <w:bCs/>
          <w:b/>
        </w:rPr>
        <w:t xml:space="preserve">$5.2B (conservative)</w:t>
      </w:r>
      <w:r>
        <w:t xml:space="preserve"> </w:t>
      </w:r>
      <w:r>
        <w:t xml:space="preserve">to</w:t>
      </w:r>
      <w:r>
        <w:t xml:space="preserve"> </w:t>
      </w:r>
      <w:r>
        <w:rPr>
          <w:bCs/>
          <w:b/>
        </w:rPr>
        <w:t xml:space="preserve">$15.0B (including indirect spillover from multi-crypto services)</w:t>
      </w:r>
      <w:r>
        <w:t xml:space="preserve">.</w:t>
      </w:r>
    </w:p>
    <w:p>
      <w:r>
        <w:pict>
          <v:rect style="width:0;height:1.5pt" o:hralign="center" o:hrstd="t" o:hr="t"/>
        </w:pict>
      </w:r>
    </w:p>
    <w:bookmarkEnd w:id="24"/>
    <w:bookmarkEnd w:id="25"/>
    <w:bookmarkStart w:id="30" w:name="Xb8aa98411389d7a7ee26f66dea2d0ed8b10afde"/>
    <w:p>
      <w:pPr>
        <w:pStyle w:val="Heading2"/>
      </w:pPr>
      <w:r>
        <w:t xml:space="preserve">1.2 SAM — Serviceable Addressable Market (Non-MiCA)</w:t>
      </w:r>
    </w:p>
    <w:bookmarkStart w:id="26" w:name="X3dc1748df90b8be5364884721dcbd3a6a51df49"/>
    <w:p>
      <w:pPr>
        <w:pStyle w:val="Heading3"/>
      </w:pPr>
      <w:r>
        <w:t xml:space="preserve">MiCA Exclusions: The Regulatory Safe Harbor</w:t>
      </w:r>
    </w:p>
    <w:p>
      <w:pPr>
        <w:numPr>
          <w:ilvl w:val="0"/>
          <w:numId w:val="1004"/>
        </w:numPr>
        <w:pStyle w:val="Compact"/>
      </w:pPr>
      <w:r>
        <w:rPr>
          <w:bCs/>
          <w:b/>
        </w:rPr>
        <w:t xml:space="preserve">Recital 83</w:t>
      </w:r>
      <w:r>
        <w:t xml:space="preserve"> </w:t>
      </w:r>
      <w:r>
        <w:t xml:space="preserve">explicitly states:</w:t>
      </w:r>
      <w:r>
        <w:t xml:space="preserve"> </w:t>
      </w:r>
      <w:r>
        <w:t xml:space="preserve">“</w:t>
      </w:r>
      <w:r>
        <w:t xml:space="preserve">hardware or software providers of non-custodial wallets should not fall within the scope of this regulation</w:t>
      </w:r>
      <w:r>
        <w:t xml:space="preserve">”</w:t>
      </w:r>
      <w:r>
        <w:t xml:space="preserve"> </w:t>
      </w:r>
      <w:r>
        <w:rPr>
          <w:vertAlign w:val="superscript"/>
        </w:rPr>
        <w:footnoteReference w:id="24"/>
      </w:r>
      <w:r>
        <w:t xml:space="preserve">.</w:t>
      </w:r>
    </w:p>
    <w:p>
      <w:pPr>
        <w:numPr>
          <w:ilvl w:val="0"/>
          <w:numId w:val="1004"/>
        </w:numPr>
        <w:pStyle w:val="Compact"/>
      </w:pPr>
      <w:r>
        <w:rPr>
          <w:bCs/>
          <w:b/>
        </w:rPr>
        <w:t xml:space="preserve">Articles 68–71</w:t>
      </w:r>
      <w:r>
        <w:t xml:space="preserve"> </w:t>
      </w:r>
      <w:r>
        <w:t xml:space="preserve">confirm that non-custodial wallet holders themselves are NOT subject to MiCA obligations</w:t>
      </w:r>
      <w:r>
        <w:t xml:space="preserve"> </w:t>
      </w:r>
      <w:fldSimple w:instr="NOTEREF _Ref_Footnote_2 \h \f">
        <w:r>
          <w:rPr>
            <w:vertAlign w:val="superscript"/>
          </w:rPr>
          <w:t>2</w:t>
        </w:r>
      </w:fldSimple>
      <w:r>
        <w:t xml:space="preserve">.</w:t>
      </w:r>
    </w:p>
    <w:p>
      <w:pPr>
        <w:numPr>
          <w:ilvl w:val="0"/>
          <w:numId w:val="1004"/>
        </w:numPr>
        <w:pStyle w:val="Compact"/>
      </w:pPr>
      <w:r>
        <w:rPr>
          <w:bCs/>
          <w:b/>
        </w:rPr>
        <w:t xml:space="preserve">P2P transactions</w:t>
      </w:r>
      <w:r>
        <w:t xml:space="preserve"> </w:t>
      </w:r>
      <w:r>
        <w:t xml:space="preserve">without intermediaries fall outside MiCA’s CASP definition entirely</w:t>
      </w:r>
      <w:r>
        <w:t xml:space="preserve"> </w:t>
      </w:r>
      <w:r>
        <w:rPr>
          <w:vertAlign w:val="superscript"/>
        </w:rPr>
        <w:footnoteReference w:id="25"/>
      </w:r>
      <w:r>
        <w:t xml:space="preserve">.</w:t>
      </w:r>
    </w:p>
    <w:p>
      <w:pPr>
        <w:numPr>
          <w:ilvl w:val="0"/>
          <w:numId w:val="1004"/>
        </w:numPr>
        <w:pStyle w:val="Compact"/>
      </w:pPr>
      <w:r>
        <w:rPr>
          <w:bCs/>
          <w:b/>
        </w:rPr>
        <w:t xml:space="preserve">Fully decentralized protocols</w:t>
      </w:r>
      <w:r>
        <w:t xml:space="preserve"> </w:t>
      </w:r>
      <w:r>
        <w:t xml:space="preserve">(Bisq, RoboSats),</w:t>
      </w:r>
      <w:r>
        <w:t xml:space="preserve"> </w:t>
      </w:r>
      <w:r>
        <w:rPr>
          <w:bCs/>
          <w:b/>
        </w:rPr>
        <w:t xml:space="preserve">self-hosted payment processors</w:t>
      </w:r>
      <w:r>
        <w:t xml:space="preserve"> </w:t>
      </w:r>
      <w:r>
        <w:t xml:space="preserve">(BTCPay Server), and</w:t>
      </w:r>
      <w:r>
        <w:t xml:space="preserve"> </w:t>
      </w:r>
      <w:r>
        <w:rPr>
          <w:bCs/>
          <w:b/>
        </w:rPr>
        <w:t xml:space="preserve">Bitcoin mining</w:t>
      </w:r>
      <w:r>
        <w:t xml:space="preserve"> </w:t>
      </w:r>
      <w:r>
        <w:t xml:space="preserve">are not CASP activities</w:t>
      </w:r>
      <w:r>
        <w:t xml:space="preserve"> </w:t>
      </w:r>
      <w:r>
        <w:rPr>
          <w:vertAlign w:val="superscript"/>
        </w:rPr>
        <w:footnoteReference w:id="26"/>
      </w:r>
      <w:r>
        <w:t xml:space="preserve">.</w:t>
      </w:r>
    </w:p>
    <w:p>
      <w:pPr>
        <w:numPr>
          <w:ilvl w:val="0"/>
          <w:numId w:val="1004"/>
        </w:numPr>
        <w:pStyle w:val="Compact"/>
      </w:pPr>
      <w:r>
        <w:t xml:space="preserve">The AMLR explicitly excludes wallet software providers that do not have access to or control over users’ crypto assets</w:t>
      </w:r>
      <w:r>
        <w:t xml:space="preserve"> </w:t>
      </w:r>
      <w:r>
        <w:rPr>
          <w:vertAlign w:val="superscript"/>
        </w:rPr>
        <w:footnoteReference w:id="27"/>
      </w:r>
      <w:r>
        <w:t xml:space="preserve">.</w:t>
      </w:r>
    </w:p>
    <w:tbl>
      <w:tblPr>
        <w:tblStyle w:val="Table"/>
        <w:tblW w:type="pct" w:w="5000"/>
        <w:tblLook w:firstRow="1" w:lastRow="0" w:firstColumn="0" w:lastColumn="0" w:noHBand="0" w:noVBand="0" w:val="0020"/>
      </w:tblPr>
      <w:tblGrid>
        <w:gridCol w:w="3131"/>
        <w:gridCol w:w="2394"/>
        <w:gridCol w:w="2394"/>
      </w:tblGrid>
      <w:tr>
        <w:trPr>
          <w:tblHeader w:val="true"/>
        </w:trPr>
        <w:tc>
          <w:tcPr/>
          <w:p>
            <w:pPr>
              <w:pStyle w:val="Compact"/>
              <w:jc w:val="left"/>
            </w:pPr>
            <w:r>
              <w:t xml:space="preserve">Service Category</w:t>
            </w:r>
          </w:p>
        </w:tc>
        <w:tc>
          <w:tcPr/>
          <w:p>
            <w:pPr>
              <w:pStyle w:val="Compact"/>
              <w:jc w:val="left"/>
            </w:pPr>
            <w:r>
              <w:t xml:space="preserve">MiCA Status</w:t>
            </w:r>
          </w:p>
        </w:tc>
        <w:tc>
          <w:tcPr/>
          <w:p>
            <w:pPr>
              <w:pStyle w:val="Compact"/>
              <w:jc w:val="left"/>
            </w:pPr>
            <w:r>
              <w:t xml:space="preserve">Legal Basis</w:t>
            </w:r>
          </w:p>
        </w:tc>
      </w:tr>
      <w:tr>
        <w:tc>
          <w:tcPr/>
          <w:p>
            <w:pPr>
              <w:pStyle w:val="Compact"/>
              <w:jc w:val="left"/>
            </w:pPr>
            <w:r>
              <w:t xml:space="preserve">Non-custodial hardware wallets</w:t>
            </w:r>
          </w:p>
        </w:tc>
        <w:tc>
          <w:tcPr/>
          <w:p>
            <w:pPr>
              <w:pStyle w:val="Compact"/>
              <w:jc w:val="left"/>
            </w:pPr>
            <w:r>
              <w:rPr>
                <w:bCs/>
                <w:b/>
              </w:rPr>
              <w:t xml:space="preserve">EXCLUDED</w:t>
            </w:r>
          </w:p>
        </w:tc>
        <w:tc>
          <w:tcPr/>
          <w:p>
            <w:pPr>
              <w:pStyle w:val="Compact"/>
              <w:jc w:val="left"/>
            </w:pPr>
            <w:r>
              <w:t xml:space="preserve">Recital 83</w:t>
            </w:r>
            <w:r>
              <w:t xml:space="preserve"> </w:t>
            </w:r>
            <w:fldSimple w:instr="NOTEREF _Ref_Footnote_24 \h \f">
              <w:r>
                <w:rPr>
                  <w:vertAlign w:val="superscript"/>
                </w:rPr>
                <w:t>24</w:t>
              </w:r>
            </w:fldSimple>
          </w:p>
        </w:tc>
      </w:tr>
      <w:tr>
        <w:tc>
          <w:tcPr/>
          <w:p>
            <w:pPr>
              <w:pStyle w:val="Compact"/>
              <w:jc w:val="left"/>
            </w:pPr>
            <w:r>
              <w:t xml:space="preserve">Non-custodial software wallets</w:t>
            </w:r>
          </w:p>
        </w:tc>
        <w:tc>
          <w:tcPr/>
          <w:p>
            <w:pPr>
              <w:pStyle w:val="Compact"/>
              <w:jc w:val="left"/>
            </w:pPr>
            <w:r>
              <w:rPr>
                <w:bCs/>
                <w:b/>
              </w:rPr>
              <w:t xml:space="preserve">EXCLUDED</w:t>
            </w:r>
          </w:p>
        </w:tc>
        <w:tc>
          <w:tcPr/>
          <w:p>
            <w:pPr>
              <w:pStyle w:val="Compact"/>
              <w:jc w:val="left"/>
            </w:pPr>
            <w:r>
              <w:t xml:space="preserve">Recital 83, Art 68–71</w:t>
            </w:r>
            <w:r>
              <w:t xml:space="preserve"> </w:t>
            </w:r>
            <w:fldSimple w:instr="NOTEREF _Ref_Footnote_2 \h \f">
              <w:r>
                <w:rPr>
                  <w:vertAlign w:val="superscript"/>
                </w:rPr>
                <w:t>2</w:t>
              </w:r>
            </w:fldSimple>
          </w:p>
        </w:tc>
      </w:tr>
      <w:tr>
        <w:tc>
          <w:tcPr/>
          <w:p>
            <w:pPr>
              <w:pStyle w:val="Compact"/>
              <w:jc w:val="left"/>
            </w:pPr>
            <w:r>
              <w:t xml:space="preserve">P2P Bitcoin trading (no intermediary)</w:t>
            </w:r>
          </w:p>
        </w:tc>
        <w:tc>
          <w:tcPr/>
          <w:p>
            <w:pPr>
              <w:pStyle w:val="Compact"/>
              <w:jc w:val="left"/>
            </w:pPr>
            <w:r>
              <w:rPr>
                <w:bCs/>
                <w:b/>
              </w:rPr>
              <w:t xml:space="preserve">EXCLUDED</w:t>
            </w:r>
          </w:p>
        </w:tc>
        <w:tc>
          <w:tcPr/>
          <w:p>
            <w:pPr>
              <w:pStyle w:val="Compact"/>
              <w:jc w:val="left"/>
            </w:pPr>
            <w:r>
              <w:t xml:space="preserve">No CASP definition met</w:t>
            </w:r>
            <w:r>
              <w:t xml:space="preserve"> </w:t>
            </w:r>
            <w:fldSimple w:instr="NOTEREF _Ref_Footnote_25 \h \f">
              <w:r>
                <w:rPr>
                  <w:vertAlign w:val="superscript"/>
                </w:rPr>
                <w:t>25</w:t>
              </w:r>
            </w:fldSimple>
          </w:p>
        </w:tc>
      </w:tr>
      <w:tr>
        <w:tc>
          <w:tcPr/>
          <w:p>
            <w:pPr>
              <w:pStyle w:val="Compact"/>
              <w:jc w:val="left"/>
            </w:pPr>
            <w:r>
              <w:t xml:space="preserve">Fully decentralized exchanges (Bisq)</w:t>
            </w:r>
          </w:p>
        </w:tc>
        <w:tc>
          <w:tcPr/>
          <w:p>
            <w:pPr>
              <w:pStyle w:val="Compact"/>
              <w:jc w:val="left"/>
            </w:pPr>
            <w:r>
              <w:rPr>
                <w:bCs/>
                <w:b/>
              </w:rPr>
              <w:t xml:space="preserve">EXCLUDED</w:t>
            </w:r>
          </w:p>
        </w:tc>
        <w:tc>
          <w:tcPr/>
          <w:p>
            <w:pPr>
              <w:pStyle w:val="Compact"/>
              <w:jc w:val="left"/>
            </w:pPr>
            <w:r>
              <w:t xml:space="preserve">“</w:t>
            </w:r>
            <w:r>
              <w:t xml:space="preserve">Fully decentralized</w:t>
            </w:r>
            <w:r>
              <w:t xml:space="preserve">”</w:t>
            </w:r>
            <w:r>
              <w:t xml:space="preserve"> </w:t>
            </w:r>
            <w:r>
              <w:t xml:space="preserve">exemption</w:t>
            </w:r>
          </w:p>
        </w:tc>
      </w:tr>
      <w:tr>
        <w:tc>
          <w:tcPr/>
          <w:p>
            <w:pPr>
              <w:pStyle w:val="Compact"/>
              <w:jc w:val="left"/>
            </w:pPr>
            <w:r>
              <w:t xml:space="preserve">Lightning Network (non-custodial)</w:t>
            </w:r>
          </w:p>
        </w:tc>
        <w:tc>
          <w:tcPr/>
          <w:p>
            <w:pPr>
              <w:pStyle w:val="Compact"/>
              <w:jc w:val="left"/>
            </w:pPr>
            <w:r>
              <w:rPr>
                <w:bCs/>
                <w:b/>
              </w:rPr>
              <w:t xml:space="preserve">EXCLUDED</w:t>
            </w:r>
          </w:p>
        </w:tc>
        <w:tc>
          <w:tcPr/>
          <w:p>
            <w:pPr>
              <w:pStyle w:val="Compact"/>
              <w:jc w:val="left"/>
            </w:pPr>
            <w:r>
              <w:t xml:space="preserve">Decentralized infrastructure</w:t>
            </w:r>
            <w:r>
              <w:t xml:space="preserve"> </w:t>
            </w:r>
            <w:fldSimple w:instr="NOTEREF _Ref_Footnote_7 \h \f">
              <w:r>
                <w:rPr>
                  <w:vertAlign w:val="superscript"/>
                </w:rPr>
                <w:t>7</w:t>
              </w:r>
            </w:fldSimple>
          </w:p>
        </w:tc>
      </w:tr>
      <w:tr>
        <w:tc>
          <w:tcPr/>
          <w:p>
            <w:pPr>
              <w:pStyle w:val="Compact"/>
              <w:jc w:val="left"/>
            </w:pPr>
            <w:r>
              <w:t xml:space="preserve">Self-hosted payment processors (BTCPay)</w:t>
            </w:r>
          </w:p>
        </w:tc>
        <w:tc>
          <w:tcPr/>
          <w:p>
            <w:pPr>
              <w:pStyle w:val="Compact"/>
              <w:jc w:val="left"/>
            </w:pPr>
            <w:r>
              <w:rPr>
                <w:bCs/>
                <w:b/>
              </w:rPr>
              <w:t xml:space="preserve">EXCLUDED</w:t>
            </w:r>
          </w:p>
        </w:tc>
        <w:tc>
          <w:tcPr/>
          <w:p>
            <w:pPr>
              <w:pStyle w:val="Compact"/>
              <w:jc w:val="left"/>
            </w:pPr>
            <w:r>
              <w:t xml:space="preserve">No custody, no CASP</w:t>
            </w:r>
            <w:r>
              <w:t xml:space="preserve"> </w:t>
            </w:r>
            <w:fldSimple w:instr="NOTEREF _Ref_Footnote_26 \h \f">
              <w:r>
                <w:rPr>
                  <w:vertAlign w:val="superscript"/>
                </w:rPr>
                <w:t>26</w:t>
              </w:r>
            </w:fldSimple>
          </w:p>
        </w:tc>
      </w:tr>
      <w:tr>
        <w:tc>
          <w:tcPr/>
          <w:p>
            <w:pPr>
              <w:pStyle w:val="Compact"/>
              <w:jc w:val="left"/>
            </w:pPr>
            <w:r>
              <w:t xml:space="preserve">Bitcoin mining (self-mining)</w:t>
            </w:r>
          </w:p>
        </w:tc>
        <w:tc>
          <w:tcPr/>
          <w:p>
            <w:pPr>
              <w:pStyle w:val="Compact"/>
              <w:jc w:val="left"/>
            </w:pPr>
            <w:r>
              <w:rPr>
                <w:bCs/>
                <w:b/>
              </w:rPr>
              <w:t xml:space="preserve">NOT REGULATED</w:t>
            </w:r>
          </w:p>
        </w:tc>
        <w:tc>
          <w:tcPr/>
          <w:p>
            <w:pPr>
              <w:pStyle w:val="Compact"/>
              <w:jc w:val="left"/>
            </w:pPr>
            <w:r>
              <w:t xml:space="preserve">Not a CASP activity</w:t>
            </w:r>
          </w:p>
        </w:tc>
      </w:tr>
      <w:tr>
        <w:tc>
          <w:tcPr/>
          <w:p>
            <w:pPr>
              <w:pStyle w:val="Compact"/>
              <w:jc w:val="left"/>
            </w:pPr>
            <w:r>
              <w:t xml:space="preserve">Bitcoin education / consulting</w:t>
            </w:r>
          </w:p>
        </w:tc>
        <w:tc>
          <w:tcPr/>
          <w:p>
            <w:pPr>
              <w:pStyle w:val="Compact"/>
              <w:jc w:val="left"/>
            </w:pPr>
            <w:r>
              <w:rPr>
                <w:bCs/>
                <w:b/>
              </w:rPr>
              <w:t xml:space="preserve">EXCLUDED</w:t>
            </w:r>
          </w:p>
        </w:tc>
        <w:tc>
          <w:tcPr/>
          <w:p>
            <w:pPr>
              <w:pStyle w:val="Compact"/>
              <w:jc w:val="left"/>
            </w:pPr>
            <w:r>
              <w:t xml:space="preserve">No custody or trading</w:t>
            </w:r>
          </w:p>
        </w:tc>
      </w:tr>
    </w:tbl>
    <w:bookmarkEnd w:id="26"/>
    <w:bookmarkStart w:id="27" w:name="sam-by-segment"/>
    <w:p>
      <w:pPr>
        <w:pStyle w:val="Heading3"/>
      </w:pPr>
      <w:r>
        <w:t xml:space="preserve">SAM by Segment</w:t>
      </w:r>
    </w:p>
    <w:tbl>
      <w:tblPr>
        <w:tblStyle w:val="Table"/>
        <w:tblW w:type="pct" w:w="5000"/>
        <w:tblLook w:firstRow="1" w:lastRow="0" w:firstColumn="0" w:lastColumn="0" w:noHBand="0" w:noVBand="0" w:val="0020"/>
      </w:tblPr>
      <w:tblGrid>
        <w:gridCol w:w="1397"/>
        <w:gridCol w:w="2795"/>
        <w:gridCol w:w="2018"/>
        <w:gridCol w:w="1708"/>
      </w:tblGrid>
      <w:tr>
        <w:trPr>
          <w:tblHeader w:val="true"/>
        </w:trPr>
        <w:tc>
          <w:tcPr/>
          <w:p>
            <w:pPr>
              <w:pStyle w:val="Compact"/>
              <w:jc w:val="left"/>
            </w:pPr>
            <w:r>
              <w:t xml:space="preserve">Segment</w:t>
            </w:r>
          </w:p>
        </w:tc>
        <w:tc>
          <w:tcPr/>
          <w:p>
            <w:pPr>
              <w:pStyle w:val="Compact"/>
              <w:jc w:val="left"/>
            </w:pPr>
            <w:r>
              <w:t xml:space="preserve">Europe SAM (2025)</w:t>
            </w:r>
          </w:p>
        </w:tc>
        <w:tc>
          <w:tcPr/>
          <w:p>
            <w:pPr>
              <w:pStyle w:val="Compact"/>
              <w:jc w:val="left"/>
            </w:pPr>
            <w:r>
              <w:t xml:space="preserve">Growth Rate</w:t>
            </w:r>
          </w:p>
        </w:tc>
        <w:tc>
          <w:tcPr/>
          <w:p>
            <w:pPr>
              <w:pStyle w:val="Compact"/>
              <w:jc w:val="left"/>
            </w:pPr>
            <w:r>
              <w:t xml:space="preserve">Rationale</w:t>
            </w:r>
          </w:p>
        </w:tc>
      </w:tr>
      <w:tr>
        <w:tc>
          <w:tcPr/>
          <w:p>
            <w:pPr>
              <w:pStyle w:val="Compact"/>
              <w:jc w:val="left"/>
            </w:pPr>
            <w:r>
              <w:t xml:space="preserve">Hardware Wallets</w:t>
            </w:r>
          </w:p>
        </w:tc>
        <w:tc>
          <w:tcPr/>
          <w:p>
            <w:pPr>
              <w:pStyle w:val="Compact"/>
              <w:jc w:val="left"/>
            </w:pPr>
            <w:r>
              <w:t xml:space="preserve">$150–200M</w:t>
            </w:r>
            <w:r>
              <w:t xml:space="preserve"> </w:t>
            </w:r>
            <w:fldSimple w:instr="NOTEREF _Ref_Footnote_10 \h \f">
              <w:r>
                <w:rPr>
                  <w:vertAlign w:val="superscript"/>
                </w:rPr>
                <w:t>10</w:t>
              </w:r>
            </w:fldSimple>
          </w:p>
        </w:tc>
        <w:tc>
          <w:tcPr/>
          <w:p>
            <w:pPr>
              <w:pStyle w:val="Compact"/>
              <w:jc w:val="left"/>
            </w:pPr>
            <w:r>
              <w:t xml:space="preserve">21% CAGR</w:t>
            </w:r>
          </w:p>
        </w:tc>
        <w:tc>
          <w:tcPr/>
          <w:p>
            <w:pPr>
              <w:pStyle w:val="Compact"/>
              <w:jc w:val="left"/>
            </w:pPr>
            <w:r>
              <w:t xml:space="preserve">Europe 30% global demand; 1.6M units shipped in EU (2024)</w:t>
            </w:r>
          </w:p>
        </w:tc>
      </w:tr>
      <w:tr>
        <w:tc>
          <w:tcPr/>
          <w:p>
            <w:pPr>
              <w:pStyle w:val="Compact"/>
              <w:jc w:val="left"/>
            </w:pPr>
            <w:r>
              <w:t xml:space="preserve">Software Wallets (Non-Custodial)</w:t>
            </w:r>
          </w:p>
        </w:tc>
        <w:tc>
          <w:tcPr/>
          <w:p>
            <w:pPr>
              <w:pStyle w:val="Compact"/>
              <w:jc w:val="left"/>
            </w:pPr>
            <w:r>
              <w:t xml:space="preserve">$859M</w:t>
            </w:r>
            <w:r>
              <w:t xml:space="preserve"> </w:t>
            </w:r>
            <w:fldSimple w:instr="NOTEREF _Ref_Footnote_11 \h \f">
              <w:r>
                <w:rPr>
                  <w:vertAlign w:val="superscript"/>
                </w:rPr>
                <w:t>11</w:t>
              </w:r>
            </w:fldSimple>
          </w:p>
        </w:tc>
        <w:tc>
          <w:tcPr/>
          <w:p>
            <w:pPr>
              <w:pStyle w:val="Compact"/>
              <w:jc w:val="left"/>
            </w:pPr>
            <w:r>
              <w:t xml:space="preserve">18.2% CAGR</w:t>
            </w:r>
          </w:p>
        </w:tc>
        <w:tc>
          <w:tcPr/>
          <w:p>
            <w:pPr>
              <w:pStyle w:val="Compact"/>
              <w:jc w:val="left"/>
            </w:pPr>
            <w:r>
              <w:t xml:space="preserve">Europe 17.9% of $4.8B global market</w:t>
            </w:r>
          </w:p>
        </w:tc>
      </w:tr>
      <w:tr>
        <w:tc>
          <w:tcPr/>
          <w:p>
            <w:pPr>
              <w:pStyle w:val="Compact"/>
              <w:jc w:val="left"/>
            </w:pPr>
            <w:r>
              <w:t xml:space="preserve">P2P Bitcoin Exchanges</w:t>
            </w:r>
          </w:p>
        </w:tc>
        <w:tc>
          <w:tcPr/>
          <w:p>
            <w:pPr>
              <w:pStyle w:val="Compact"/>
              <w:jc w:val="left"/>
            </w:pPr>
            <w:r>
              <w:t xml:space="preserve">$20–50M</w:t>
            </w:r>
            <w:r>
              <w:t xml:space="preserve"> </w:t>
            </w:r>
            <w:fldSimple w:instr="NOTEREF _Ref_Footnote_18 \h \f">
              <w:r>
                <w:rPr>
                  <w:vertAlign w:val="superscript"/>
                </w:rPr>
                <w:t>18</w:t>
              </w:r>
            </w:fldSimple>
          </w:p>
        </w:tc>
        <w:tc>
          <w:tcPr/>
          <w:p>
            <w:pPr>
              <w:pStyle w:val="Compact"/>
              <w:jc w:val="left"/>
            </w:pPr>
            <w:r>
              <w:t xml:space="preserve">30–50% YoY</w:t>
            </w:r>
          </w:p>
        </w:tc>
        <w:tc>
          <w:tcPr/>
          <w:p>
            <w:pPr>
              <w:pStyle w:val="Compact"/>
              <w:jc w:val="left"/>
            </w:pPr>
            <w:r>
              <w:t xml:space="preserve">Peach: 500K CHF/month; HodlHodl; Bisq; RoboSats</w:t>
            </w:r>
          </w:p>
        </w:tc>
      </w:tr>
      <w:tr>
        <w:tc>
          <w:tcPr/>
          <w:p>
            <w:pPr>
              <w:pStyle w:val="Compact"/>
              <w:jc w:val="left"/>
            </w:pPr>
            <w:r>
              <w:t xml:space="preserve">Lightning Network Services</w:t>
            </w:r>
          </w:p>
        </w:tc>
        <w:tc>
          <w:tcPr/>
          <w:p>
            <w:pPr>
              <w:pStyle w:val="Compact"/>
              <w:jc w:val="left"/>
            </w:pPr>
            <w:r>
              <w:t xml:space="preserve">$15M+</w:t>
            </w:r>
            <w:r>
              <w:t xml:space="preserve"> </w:t>
            </w:r>
            <w:fldSimple w:instr="NOTEREF _Ref_Footnote_12 \h \f">
              <w:r>
                <w:rPr>
                  <w:vertAlign w:val="superscript"/>
                </w:rPr>
                <w:t>12</w:t>
              </w:r>
            </w:fldSimple>
          </w:p>
        </w:tc>
        <w:tc>
          <w:tcPr/>
          <w:p>
            <w:pPr>
              <w:pStyle w:val="Compact"/>
              <w:jc w:val="left"/>
            </w:pPr>
            <w:r>
              <w:t xml:space="preserve">100%+ YoY</w:t>
            </w:r>
          </w:p>
        </w:tc>
        <w:tc>
          <w:tcPr/>
          <w:p>
            <w:pPr>
              <w:pStyle w:val="Compact"/>
              <w:jc w:val="left"/>
            </w:pPr>
            <w:r>
              <w:t xml:space="preserve">Europe ~27% of global infrastructure; routing + LSP revenue</w:t>
            </w:r>
          </w:p>
        </w:tc>
      </w:tr>
      <w:tr>
        <w:tc>
          <w:tcPr/>
          <w:p>
            <w:pPr>
              <w:pStyle w:val="Compact"/>
              <w:jc w:val="left"/>
            </w:pPr>
            <w:r>
              <w:t xml:space="preserve">BTCPay Server / Self-Hosted Payments</w:t>
            </w:r>
          </w:p>
        </w:tc>
        <w:tc>
          <w:tcPr/>
          <w:p>
            <w:pPr>
              <w:pStyle w:val="Compact"/>
              <w:jc w:val="left"/>
            </w:pPr>
            <w:r>
              <w:t xml:space="preserve">$3M</w:t>
            </w:r>
            <w:r>
              <w:t xml:space="preserve"> </w:t>
            </w:r>
            <w:fldSimple w:instr="NOTEREF _Ref_Footnote_26 \h \f">
              <w:r>
                <w:rPr>
                  <w:vertAlign w:val="superscript"/>
                </w:rPr>
                <w:t>26</w:t>
              </w:r>
            </w:fldSimple>
          </w:p>
        </w:tc>
        <w:tc>
          <w:tcPr/>
          <w:p>
            <w:pPr>
              <w:pStyle w:val="Compact"/>
              <w:jc w:val="left"/>
            </w:pPr>
            <w:r>
              <w:t xml:space="preserve">40% YoY</w:t>
            </w:r>
          </w:p>
        </w:tc>
        <w:tc>
          <w:tcPr/>
          <w:p>
            <w:pPr>
              <w:pStyle w:val="Compact"/>
              <w:jc w:val="left"/>
            </w:pPr>
            <w:r>
              <w:t xml:space="preserve">Open-source; revenue from hosting/support only</w:t>
            </w:r>
          </w:p>
        </w:tc>
      </w:tr>
      <w:tr>
        <w:tc>
          <w:tcPr/>
          <w:p>
            <w:pPr>
              <w:pStyle w:val="Compact"/>
              <w:jc w:val="left"/>
            </w:pPr>
            <w:r>
              <w:t xml:space="preserve">Bitcoin Mining Hosting</w:t>
            </w:r>
          </w:p>
        </w:tc>
        <w:tc>
          <w:tcPr/>
          <w:p>
            <w:pPr>
              <w:pStyle w:val="Compact"/>
              <w:jc w:val="left"/>
            </w:pPr>
            <w:r>
              <w:t xml:space="preserve">$300M</w:t>
            </w:r>
          </w:p>
        </w:tc>
        <w:tc>
          <w:tcPr/>
          <w:p>
            <w:pPr>
              <w:pStyle w:val="Compact"/>
              <w:jc w:val="left"/>
            </w:pPr>
            <w:r>
              <w:t xml:space="preserve">15% YoY</w:t>
            </w:r>
          </w:p>
        </w:tc>
        <w:tc>
          <w:tcPr/>
          <w:p>
            <w:pPr>
              <w:pStyle w:val="Compact"/>
              <w:jc w:val="left"/>
            </w:pPr>
            <w:r>
              <w:t xml:space="preserve">Nordic renewable energy dominance; not a CASP activity</w:t>
            </w:r>
          </w:p>
        </w:tc>
      </w:tr>
      <w:tr>
        <w:tc>
          <w:tcPr/>
          <w:p>
            <w:pPr>
              <w:pStyle w:val="Compact"/>
              <w:jc w:val="left"/>
            </w:pPr>
            <w:r>
              <w:t xml:space="preserve">Bitcoin Education / Consulting (Non-CASP)</w:t>
            </w:r>
          </w:p>
        </w:tc>
        <w:tc>
          <w:tcPr/>
          <w:p>
            <w:pPr>
              <w:pStyle w:val="Compact"/>
              <w:jc w:val="left"/>
            </w:pPr>
            <w:r>
              <w:t xml:space="preserve">$120M</w:t>
            </w:r>
            <w:r>
              <w:t xml:space="preserve"> </w:t>
            </w:r>
            <w:fldSimple w:instr="NOTEREF _Ref_Footnote_20 \h \f">
              <w:r>
                <w:rPr>
                  <w:vertAlign w:val="superscript"/>
                </w:rPr>
                <w:t>20</w:t>
              </w:r>
            </w:fldSimple>
          </w:p>
        </w:tc>
        <w:tc>
          <w:tcPr/>
          <w:p>
            <w:pPr>
              <w:pStyle w:val="Compact"/>
              <w:jc w:val="left"/>
            </w:pPr>
            <w:r>
              <w:t xml:space="preserve">15.6% CAGR</w:t>
            </w:r>
          </w:p>
        </w:tc>
        <w:tc>
          <w:tcPr/>
          <w:p>
            <w:pPr>
              <w:pStyle w:val="Compact"/>
              <w:jc w:val="left"/>
            </w:pPr>
            <w:r>
              <w:t xml:space="preserve">Non-CASP portion of $3.2B global education market</w:t>
            </w:r>
          </w:p>
        </w:tc>
      </w:tr>
      <w:tr>
        <w:tc>
          <w:tcPr/>
          <w:p>
            <w:pPr>
              <w:pStyle w:val="Compact"/>
              <w:jc w:val="left"/>
            </w:pPr>
            <w:r>
              <w:rPr>
                <w:bCs/>
                <w:b/>
              </w:rPr>
              <w:t xml:space="preserve">TOTAL SAM</w:t>
            </w:r>
          </w:p>
        </w:tc>
        <w:tc>
          <w:tcPr/>
          <w:p>
            <w:pPr>
              <w:pStyle w:val="Compact"/>
              <w:jc w:val="left"/>
            </w:pPr>
            <w:r>
              <w:rPr>
                <w:bCs/>
                <w:b/>
              </w:rPr>
              <w:t xml:space="preserve">$1.52–1.95B</w:t>
            </w:r>
          </w:p>
        </w:tc>
        <w:tc>
          <w:tcPr/>
          <w:p>
            <w:pPr>
              <w:pStyle w:val="Compact"/>
            </w:pPr>
          </w:p>
        </w:tc>
        <w:tc>
          <w:tcPr/>
          <w:p>
            <w:pPr>
              <w:pStyle w:val="Compact"/>
            </w:pPr>
          </w:p>
        </w:tc>
      </w:tr>
    </w:tbl>
    <w:bookmarkEnd w:id="27"/>
    <w:bookmarkStart w:id="28" w:name="sam-vs.-tam-context"/>
    <w:p>
      <w:pPr>
        <w:pStyle w:val="Heading3"/>
      </w:pPr>
      <w:r>
        <w:t xml:space="preserve">SAM vs. TAM Context</w:t>
      </w:r>
    </w:p>
    <w:tbl>
      <w:tblPr>
        <w:tblStyle w:val="Table"/>
        <w:tblW w:type="pct" w:w="5000"/>
        <w:tblLook w:firstRow="1" w:lastRow="0" w:firstColumn="0" w:lastColumn="0" w:noHBand="0" w:noVBand="0" w:val="0020"/>
      </w:tblPr>
      <w:tblGrid>
        <w:gridCol w:w="4224"/>
        <w:gridCol w:w="3696"/>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Europe crypto market value (2024)</w:t>
            </w:r>
          </w:p>
        </w:tc>
        <w:tc>
          <w:tcPr/>
          <w:p>
            <w:pPr>
              <w:pStyle w:val="Compact"/>
              <w:jc w:val="left"/>
            </w:pPr>
            <w:r>
              <w:t xml:space="preserve">$10.24 billion</w:t>
            </w:r>
            <w:r>
              <w:t xml:space="preserve"> </w:t>
            </w:r>
            <w:r>
              <w:rPr>
                <w:vertAlign w:val="superscript"/>
              </w:rPr>
              <w:footnoteReference w:id="28"/>
            </w:r>
          </w:p>
        </w:tc>
      </w:tr>
      <w:tr>
        <w:tc>
          <w:tcPr/>
          <w:p>
            <w:pPr>
              <w:pStyle w:val="Compact"/>
              <w:jc w:val="left"/>
            </w:pPr>
            <w:r>
              <w:t xml:space="preserve">Europe crypto transaction volume (12mo to Jun 2025)</w:t>
            </w:r>
          </w:p>
        </w:tc>
        <w:tc>
          <w:tcPr/>
          <w:p>
            <w:pPr>
              <w:pStyle w:val="Compact"/>
              <w:jc w:val="left"/>
            </w:pPr>
            <w:r>
              <w:t xml:space="preserve">$2.6 trillion</w:t>
            </w:r>
            <w:r>
              <w:t xml:space="preserve"> </w:t>
            </w:r>
            <w:r>
              <w:rPr>
                <w:vertAlign w:val="superscript"/>
              </w:rPr>
              <w:footnoteReference w:id="29"/>
            </w:r>
          </w:p>
        </w:tc>
      </w:tr>
      <w:tr>
        <w:tc>
          <w:tcPr/>
          <w:p>
            <w:pPr>
              <w:pStyle w:val="Compact"/>
              <w:jc w:val="left"/>
            </w:pPr>
            <w:r>
              <w:t xml:space="preserve">SAM (Bitcoin-only, non-MiCA, conservative)</w:t>
            </w:r>
          </w:p>
        </w:tc>
        <w:tc>
          <w:tcPr/>
          <w:p>
            <w:pPr>
              <w:pStyle w:val="Compact"/>
              <w:jc w:val="left"/>
            </w:pPr>
            <w:r>
              <w:t xml:space="preserve">$1.52 billion</w:t>
            </w:r>
          </w:p>
        </w:tc>
      </w:tr>
      <w:tr>
        <w:tc>
          <w:tcPr/>
          <w:p>
            <w:pPr>
              <w:pStyle w:val="Compact"/>
              <w:jc w:val="left"/>
            </w:pPr>
            <w:r>
              <w:t xml:space="preserve">SAM (optimistic)</w:t>
            </w:r>
          </w:p>
        </w:tc>
        <w:tc>
          <w:tcPr/>
          <w:p>
            <w:pPr>
              <w:pStyle w:val="Compact"/>
              <w:jc w:val="left"/>
            </w:pPr>
            <w:r>
              <w:t xml:space="preserve">$1.95 billion</w:t>
            </w:r>
          </w:p>
        </w:tc>
      </w:tr>
      <w:tr>
        <w:tc>
          <w:tcPr/>
          <w:p>
            <w:pPr>
              <w:pStyle w:val="Compact"/>
              <w:jc w:val="left"/>
            </w:pPr>
            <w:r>
              <w:rPr>
                <w:bCs/>
                <w:b/>
              </w:rPr>
              <w:t xml:space="preserve">SAM as % of market-value TAM</w:t>
            </w:r>
          </w:p>
        </w:tc>
        <w:tc>
          <w:tcPr/>
          <w:p>
            <w:pPr>
              <w:pStyle w:val="Compact"/>
              <w:jc w:val="left"/>
            </w:pPr>
            <w:r>
              <w:rPr>
                <w:bCs/>
                <w:b/>
              </w:rPr>
              <w:t xml:space="preserve">14.9%</w:t>
            </w:r>
          </w:p>
        </w:tc>
      </w:tr>
    </w:tbl>
    <w:p>
      <w:pPr>
        <w:numPr>
          <w:ilvl w:val="0"/>
          <w:numId w:val="1005"/>
        </w:numPr>
        <w:pStyle w:val="Compact"/>
      </w:pPr>
      <w:r>
        <w:t xml:space="preserve">SAM represents ~15% of total European cryptocurrency market value but operates with</w:t>
      </w:r>
      <w:r>
        <w:t xml:space="preserve"> </w:t>
      </w:r>
      <w:r>
        <w:rPr>
          <w:bCs/>
          <w:b/>
        </w:rPr>
        <w:t xml:space="preserve">zero MiCA compliance costs</w:t>
      </w:r>
      <w:r>
        <w:t xml:space="preserve">,</w:t>
      </w:r>
      <w:r>
        <w:t xml:space="preserve"> </w:t>
      </w:r>
      <w:r>
        <w:rPr>
          <w:bCs/>
          <w:b/>
        </w:rPr>
        <w:t xml:space="preserve">no licensing requirements</w:t>
      </w:r>
      <w:r>
        <w:t xml:space="preserve">, and</w:t>
      </w:r>
      <w:r>
        <w:t xml:space="preserve"> </w:t>
      </w:r>
      <w:r>
        <w:rPr>
          <w:bCs/>
          <w:b/>
        </w:rPr>
        <w:t xml:space="preserve">no CASP authorization timelines</w:t>
      </w:r>
      <w:r>
        <w:t xml:space="preserve">.</w:t>
      </w:r>
    </w:p>
    <w:p>
      <w:pPr>
        <w:numPr>
          <w:ilvl w:val="0"/>
          <w:numId w:val="1005"/>
        </w:numPr>
        <w:pStyle w:val="Compact"/>
      </w:pPr>
      <w:r>
        <w:t xml:space="preserve">While 50+ crypto firms have lost licenses due to MiCA non-compliance, non-custodial services face no such barrier</w:t>
      </w:r>
      <w:r>
        <w:t xml:space="preserve"> </w:t>
      </w:r>
      <w:r>
        <w:rPr>
          <w:vertAlign w:val="superscript"/>
        </w:rPr>
        <w:footnoteReference w:id="30"/>
      </w:r>
      <w:r>
        <w:t xml:space="preserve">.</w:t>
      </w:r>
    </w:p>
    <w:p>
      <w:pPr>
        <w:numPr>
          <w:ilvl w:val="0"/>
          <w:numId w:val="1005"/>
        </w:numPr>
        <w:pStyle w:val="Compact"/>
      </w:pPr>
      <w:r>
        <w:t xml:space="preserve">Wallet of Satoshi exited EU markets in January 2026 under MiCA/DAC8 pressure — demonstrating how custodial services retreat while non-custodial alternatives remain</w:t>
      </w:r>
      <w:r>
        <w:t xml:space="preserve"> </w:t>
      </w:r>
      <w:fldSimple w:instr="NOTEREF _Ref_Footnote_7 \h \f">
        <w:r>
          <w:rPr>
            <w:vertAlign w:val="superscript"/>
          </w:rPr>
          <w:t>7</w:t>
        </w:r>
      </w:fldSimple>
      <w:r>
        <w:t xml:space="preserve">.</w:t>
      </w:r>
    </w:p>
    <w:bookmarkEnd w:id="28"/>
    <w:bookmarkStart w:id="29" w:name="sam-projections"/>
    <w:p>
      <w:pPr>
        <w:pStyle w:val="Heading3"/>
      </w:pPr>
      <w:r>
        <w:t xml:space="preserve">2030 SAM Projections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2025 SAM</w:t>
            </w:r>
          </w:p>
        </w:tc>
        <w:tc>
          <w:tcPr/>
          <w:p>
            <w:pPr>
              <w:pStyle w:val="Compact"/>
              <w:jc w:val="left"/>
            </w:pPr>
            <w:r>
              <w:t xml:space="preserve">2030 Projected</w:t>
            </w:r>
          </w:p>
        </w:tc>
        <w:tc>
          <w:tcPr/>
          <w:p>
            <w:pPr>
              <w:pStyle w:val="Compact"/>
              <w:jc w:val="left"/>
            </w:pPr>
            <w:r>
              <w:t xml:space="preserve">CAGR</w:t>
            </w:r>
          </w:p>
        </w:tc>
      </w:tr>
      <w:tr>
        <w:tc>
          <w:tcPr/>
          <w:p>
            <w:pPr>
              <w:pStyle w:val="Compact"/>
              <w:jc w:val="left"/>
            </w:pPr>
            <w:r>
              <w:t xml:space="preserve">Hardware Wallets</w:t>
            </w:r>
          </w:p>
        </w:tc>
        <w:tc>
          <w:tcPr/>
          <w:p>
            <w:pPr>
              <w:pStyle w:val="Compact"/>
              <w:jc w:val="left"/>
            </w:pPr>
            <w:r>
              <w:t xml:space="preserve">$204M</w:t>
            </w:r>
          </w:p>
        </w:tc>
        <w:tc>
          <w:tcPr/>
          <w:p>
            <w:pPr>
              <w:pStyle w:val="Compact"/>
              <w:jc w:val="left"/>
            </w:pPr>
            <w:r>
              <w:t xml:space="preserve">$530M</w:t>
            </w:r>
          </w:p>
        </w:tc>
        <w:tc>
          <w:tcPr/>
          <w:p>
            <w:pPr>
              <w:pStyle w:val="Compact"/>
              <w:jc w:val="left"/>
            </w:pPr>
            <w:r>
              <w:t xml:space="preserve">21%</w:t>
            </w:r>
          </w:p>
        </w:tc>
      </w:tr>
      <w:tr>
        <w:tc>
          <w:tcPr/>
          <w:p>
            <w:pPr>
              <w:pStyle w:val="Compact"/>
              <w:jc w:val="left"/>
            </w:pPr>
            <w:r>
              <w:t xml:space="preserve">Software Wallets</w:t>
            </w:r>
          </w:p>
        </w:tc>
        <w:tc>
          <w:tcPr/>
          <w:p>
            <w:pPr>
              <w:pStyle w:val="Compact"/>
              <w:jc w:val="left"/>
            </w:pPr>
            <w:r>
              <w:t xml:space="preserve">$859M</w:t>
            </w:r>
          </w:p>
        </w:tc>
        <w:tc>
          <w:tcPr/>
          <w:p>
            <w:pPr>
              <w:pStyle w:val="Compact"/>
              <w:jc w:val="left"/>
            </w:pPr>
            <w:r>
              <w:t xml:space="preserve">$2.0B</w:t>
            </w:r>
          </w:p>
        </w:tc>
        <w:tc>
          <w:tcPr/>
          <w:p>
            <w:pPr>
              <w:pStyle w:val="Compact"/>
              <w:jc w:val="left"/>
            </w:pPr>
            <w:r>
              <w:t xml:space="preserve">18.2%</w:t>
            </w:r>
          </w:p>
        </w:tc>
      </w:tr>
      <w:tr>
        <w:tc>
          <w:tcPr/>
          <w:p>
            <w:pPr>
              <w:pStyle w:val="Compact"/>
              <w:jc w:val="left"/>
            </w:pPr>
            <w:r>
              <w:t xml:space="preserve">P2P Exchanges</w:t>
            </w:r>
          </w:p>
        </w:tc>
        <w:tc>
          <w:tcPr/>
          <w:p>
            <w:pPr>
              <w:pStyle w:val="Compact"/>
              <w:jc w:val="left"/>
            </w:pPr>
            <w:r>
              <w:t xml:space="preserve">$35M</w:t>
            </w:r>
          </w:p>
        </w:tc>
        <w:tc>
          <w:tcPr/>
          <w:p>
            <w:pPr>
              <w:pStyle w:val="Compact"/>
              <w:jc w:val="left"/>
            </w:pPr>
            <w:r>
              <w:t xml:space="preserve">$130M</w:t>
            </w:r>
          </w:p>
        </w:tc>
        <w:tc>
          <w:tcPr/>
          <w:p>
            <w:pPr>
              <w:pStyle w:val="Compact"/>
              <w:jc w:val="left"/>
            </w:pPr>
            <w:r>
              <w:t xml:space="preserve">30%</w:t>
            </w:r>
          </w:p>
        </w:tc>
      </w:tr>
      <w:tr>
        <w:tc>
          <w:tcPr/>
          <w:p>
            <w:pPr>
              <w:pStyle w:val="Compact"/>
              <w:jc w:val="left"/>
            </w:pPr>
            <w:r>
              <w:t xml:space="preserve">Lightning Services</w:t>
            </w:r>
          </w:p>
        </w:tc>
        <w:tc>
          <w:tcPr/>
          <w:p>
            <w:pPr>
              <w:pStyle w:val="Compact"/>
              <w:jc w:val="left"/>
            </w:pPr>
            <w:r>
              <w:t xml:space="preserve">$15M</w:t>
            </w:r>
          </w:p>
        </w:tc>
        <w:tc>
          <w:tcPr/>
          <w:p>
            <w:pPr>
              <w:pStyle w:val="Compact"/>
              <w:jc w:val="left"/>
            </w:pPr>
            <w:r>
              <w:t xml:space="preserve">$240M</w:t>
            </w:r>
          </w:p>
        </w:tc>
        <w:tc>
          <w:tcPr/>
          <w:p>
            <w:pPr>
              <w:pStyle w:val="Compact"/>
              <w:jc w:val="left"/>
            </w:pPr>
            <w:r>
              <w:t xml:space="preserve">75%</w:t>
            </w:r>
          </w:p>
        </w:tc>
      </w:tr>
      <w:tr>
        <w:tc>
          <w:tcPr/>
          <w:p>
            <w:pPr>
              <w:pStyle w:val="Compact"/>
              <w:jc w:val="left"/>
            </w:pPr>
            <w:r>
              <w:t xml:space="preserve">Self-Hosted Payments</w:t>
            </w:r>
          </w:p>
        </w:tc>
        <w:tc>
          <w:tcPr/>
          <w:p>
            <w:pPr>
              <w:pStyle w:val="Compact"/>
              <w:jc w:val="left"/>
            </w:pPr>
            <w:r>
              <w:t xml:space="preserve">$3M</w:t>
            </w:r>
          </w:p>
        </w:tc>
        <w:tc>
          <w:tcPr/>
          <w:p>
            <w:pPr>
              <w:pStyle w:val="Compact"/>
              <w:jc w:val="left"/>
            </w:pPr>
            <w:r>
              <w:t xml:space="preserve">$15M</w:t>
            </w:r>
          </w:p>
        </w:tc>
        <w:tc>
          <w:tcPr/>
          <w:p>
            <w:pPr>
              <w:pStyle w:val="Compact"/>
              <w:jc w:val="left"/>
            </w:pPr>
            <w:r>
              <w:t xml:space="preserve">38%</w:t>
            </w:r>
          </w:p>
        </w:tc>
      </w:tr>
      <w:tr>
        <w:tc>
          <w:tcPr/>
          <w:p>
            <w:pPr>
              <w:pStyle w:val="Compact"/>
              <w:jc w:val="left"/>
            </w:pPr>
            <w:r>
              <w:t xml:space="preserve">Mining Hosting</w:t>
            </w:r>
          </w:p>
        </w:tc>
        <w:tc>
          <w:tcPr/>
          <w:p>
            <w:pPr>
              <w:pStyle w:val="Compact"/>
              <w:jc w:val="left"/>
            </w:pPr>
            <w:r>
              <w:t xml:space="preserve">$300M</w:t>
            </w:r>
          </w:p>
        </w:tc>
        <w:tc>
          <w:tcPr/>
          <w:p>
            <w:pPr>
              <w:pStyle w:val="Compact"/>
              <w:jc w:val="left"/>
            </w:pPr>
            <w:r>
              <w:t xml:space="preserve">$600M</w:t>
            </w:r>
          </w:p>
        </w:tc>
        <w:tc>
          <w:tcPr/>
          <w:p>
            <w:pPr>
              <w:pStyle w:val="Compact"/>
              <w:jc w:val="left"/>
            </w:pPr>
            <w:r>
              <w:t xml:space="preserve">15%</w:t>
            </w:r>
          </w:p>
        </w:tc>
      </w:tr>
      <w:tr>
        <w:tc>
          <w:tcPr/>
          <w:p>
            <w:pPr>
              <w:pStyle w:val="Compact"/>
              <w:jc w:val="left"/>
            </w:pPr>
            <w:r>
              <w:t xml:space="preserve">Education / Consulting</w:t>
            </w:r>
          </w:p>
        </w:tc>
        <w:tc>
          <w:tcPr/>
          <w:p>
            <w:pPr>
              <w:pStyle w:val="Compact"/>
              <w:jc w:val="left"/>
            </w:pPr>
            <w:r>
              <w:t xml:space="preserve">$120M</w:t>
            </w:r>
          </w:p>
        </w:tc>
        <w:tc>
          <w:tcPr/>
          <w:p>
            <w:pPr>
              <w:pStyle w:val="Compact"/>
              <w:jc w:val="left"/>
            </w:pPr>
            <w:r>
              <w:t xml:space="preserve">$240M</w:t>
            </w:r>
          </w:p>
        </w:tc>
        <w:tc>
          <w:tcPr/>
          <w:p>
            <w:pPr>
              <w:pStyle w:val="Compact"/>
              <w:jc w:val="left"/>
            </w:pPr>
            <w:r>
              <w:t xml:space="preserve">15.6%</w:t>
            </w:r>
          </w:p>
        </w:tc>
      </w:tr>
      <w:tr>
        <w:tc>
          <w:tcPr/>
          <w:p>
            <w:pPr>
              <w:pStyle w:val="Compact"/>
              <w:jc w:val="left"/>
            </w:pPr>
            <w:r>
              <w:rPr>
                <w:bCs/>
                <w:b/>
              </w:rPr>
              <w:t xml:space="preserve">TOTAL</w:t>
            </w:r>
          </w:p>
        </w:tc>
        <w:tc>
          <w:tcPr/>
          <w:p>
            <w:pPr>
              <w:pStyle w:val="Compact"/>
              <w:jc w:val="left"/>
            </w:pPr>
            <w:r>
              <w:rPr>
                <w:bCs/>
                <w:b/>
              </w:rPr>
              <w:t xml:space="preserve">~$1.54B</w:t>
            </w:r>
          </w:p>
        </w:tc>
        <w:tc>
          <w:tcPr/>
          <w:p>
            <w:pPr>
              <w:pStyle w:val="Compact"/>
              <w:jc w:val="left"/>
            </w:pPr>
            <w:r>
              <w:rPr>
                <w:bCs/>
                <w:b/>
              </w:rPr>
              <w:t xml:space="preserve">~$3.76B</w:t>
            </w:r>
          </w:p>
        </w:tc>
        <w:tc>
          <w:tcPr/>
          <w:p>
            <w:pPr>
              <w:pStyle w:val="Compact"/>
              <w:jc w:val="left"/>
            </w:pPr>
            <w:r>
              <w:rPr>
                <w:bCs/>
                <w:b/>
              </w:rPr>
              <w:t xml:space="preserve">~19.5%</w:t>
            </w:r>
          </w:p>
        </w:tc>
      </w:tr>
    </w:tbl>
    <w:p>
      <w:r>
        <w:pict>
          <v:rect style="width:0;height:1.5pt" o:hralign="center" o:hrstd="t" o:hr="t"/>
        </w:pict>
      </w:r>
    </w:p>
    <w:bookmarkEnd w:id="29"/>
    <w:bookmarkEnd w:id="30"/>
    <w:bookmarkStart w:id="37" w:name="som-serviceable-obtainable-market"/>
    <w:p>
      <w:pPr>
        <w:pStyle w:val="Heading2"/>
      </w:pPr>
      <w:r>
        <w:t xml:space="preserve">1.3 SOM — Serviceable Obtainable Market</w:t>
      </w:r>
    </w:p>
    <w:bookmarkStart w:id="31" w:name="new-entrant-constraints"/>
    <w:p>
      <w:pPr>
        <w:pStyle w:val="Heading3"/>
      </w:pPr>
      <w:r>
        <w:t xml:space="preserve">New Entrant Constraints</w:t>
      </w:r>
    </w:p>
    <w:p>
      <w:pPr>
        <w:numPr>
          <w:ilvl w:val="0"/>
          <w:numId w:val="1006"/>
        </w:numPr>
        <w:pStyle w:val="Compact"/>
      </w:pPr>
      <w:r>
        <w:rPr>
          <w:bCs/>
          <w:b/>
        </w:rPr>
        <w:t xml:space="preserve">Competitive concentration</w:t>
      </w:r>
      <w:r>
        <w:t xml:space="preserve">: Ledger + Trezor control ~60% of the hardware wallet market</w:t>
      </w:r>
      <w:r>
        <w:t xml:space="preserve"> </w:t>
      </w:r>
      <w:r>
        <w:rPr>
          <w:vertAlign w:val="superscript"/>
        </w:rPr>
        <w:footnoteReference w:id="31"/>
      </w:r>
      <w:r>
        <w:t xml:space="preserve">; network effects in P2P trading create liquidity moats.</w:t>
      </w:r>
    </w:p>
    <w:p>
      <w:pPr>
        <w:numPr>
          <w:ilvl w:val="0"/>
          <w:numId w:val="1006"/>
        </w:numPr>
        <w:pStyle w:val="Compact"/>
      </w:pPr>
      <w:r>
        <w:rPr>
          <w:bCs/>
          <w:b/>
        </w:rPr>
        <w:t xml:space="preserve">Customer acquisition cost</w:t>
      </w:r>
      <w:r>
        <w:t xml:space="preserve">: $85–$150 per user in the crypto/DeFi space</w:t>
      </w:r>
      <w:r>
        <w:t xml:space="preserve"> </w:t>
      </w:r>
      <w:r>
        <w:rPr>
          <w:vertAlign w:val="superscript"/>
        </w:rPr>
        <w:footnoteReference w:id="32"/>
      </w:r>
      <w:r>
        <w:t xml:space="preserve">; hardware CAC skews higher due to security-sensitive buyers.</w:t>
      </w:r>
    </w:p>
    <w:p>
      <w:pPr>
        <w:numPr>
          <w:ilvl w:val="0"/>
          <w:numId w:val="1006"/>
        </w:numPr>
        <w:pStyle w:val="Compact"/>
      </w:pPr>
      <w:r>
        <w:rPr>
          <w:bCs/>
          <w:b/>
        </w:rPr>
        <w:t xml:space="preserve">Brand trust deficit</w:t>
      </w:r>
      <w:r>
        <w:t xml:space="preserve">: Security-sensitive users prefer established, audited brands with multi-year track records.</w:t>
      </w:r>
    </w:p>
    <w:p>
      <w:pPr>
        <w:numPr>
          <w:ilvl w:val="0"/>
          <w:numId w:val="1006"/>
        </w:numPr>
        <w:pStyle w:val="Compact"/>
      </w:pPr>
      <w:r>
        <w:rPr>
          <w:bCs/>
          <w:b/>
        </w:rPr>
        <w:t xml:space="preserve">Hardware barriers</w:t>
      </w:r>
      <w:r>
        <w:t xml:space="preserve">: EAL5+ certification costs €50K–€250K; 6–12 months lead time; R&amp;D $250K–$1M</w:t>
      </w:r>
      <w:r>
        <w:t xml:space="preserve"> </w:t>
      </w:r>
      <w:r>
        <w:rPr>
          <w:vertAlign w:val="superscript"/>
        </w:rPr>
        <w:footnoteReference w:id="33"/>
      </w:r>
      <w:r>
        <w:t xml:space="preserve">.</w:t>
      </w:r>
    </w:p>
    <w:p>
      <w:pPr>
        <w:numPr>
          <w:ilvl w:val="0"/>
          <w:numId w:val="1006"/>
        </w:numPr>
        <w:pStyle w:val="Compact"/>
      </w:pPr>
      <w:r>
        <w:rPr>
          <w:bCs/>
          <w:b/>
        </w:rPr>
        <w:t xml:space="preserve">Penetration benchmarks</w:t>
      </w:r>
      <w:r>
        <w:t xml:space="preserve">: Most startups achieve &lt;1% market share in Year 1; 2% in Year 2 if fortunate; many never exceed 10%.</w:t>
      </w:r>
    </w:p>
    <w:tbl>
      <w:tblPr>
        <w:tblStyle w:val="Table"/>
        <w:tblW w:type="pct" w:w="5000"/>
        <w:tblLook w:firstRow="1" w:lastRow="0" w:firstColumn="0" w:lastColumn="0" w:noHBand="0" w:noVBand="0" w:val="0020"/>
      </w:tblPr>
      <w:tblGrid>
        <w:gridCol w:w="3394"/>
        <w:gridCol w:w="2262"/>
        <w:gridCol w:w="2262"/>
      </w:tblGrid>
      <w:tr>
        <w:trPr>
          <w:tblHeader w:val="true"/>
        </w:trPr>
        <w:tc>
          <w:tcPr/>
          <w:p>
            <w:pPr>
              <w:pStyle w:val="Compact"/>
              <w:jc w:val="left"/>
            </w:pPr>
            <w:r>
              <w:t xml:space="preserve">Constraint</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Hardware wallet penetration (global)</w:t>
            </w:r>
          </w:p>
        </w:tc>
        <w:tc>
          <w:tcPr/>
          <w:p>
            <w:pPr>
              <w:pStyle w:val="Compact"/>
              <w:jc w:val="left"/>
            </w:pPr>
            <w:r>
              <w:t xml:space="preserve">&lt;15% of crypto holders</w:t>
            </w:r>
            <w:r>
              <w:t xml:space="preserve"> </w:t>
            </w:r>
            <w:r>
              <w:rPr>
                <w:vertAlign w:val="superscript"/>
              </w:rPr>
              <w:footnoteReference w:id="34"/>
            </w:r>
          </w:p>
        </w:tc>
        <w:tc>
          <w:tcPr/>
          <w:p>
            <w:pPr>
              <w:pStyle w:val="Compact"/>
              <w:jc w:val="left"/>
            </w:pPr>
            <w:r>
              <w:t xml:space="preserve">Yahoo Finance / Ledger CEO</w:t>
            </w:r>
          </w:p>
        </w:tc>
      </w:tr>
      <w:tr>
        <w:tc>
          <w:tcPr/>
          <w:p>
            <w:pPr>
              <w:pStyle w:val="Compact"/>
              <w:jc w:val="left"/>
            </w:pPr>
            <w:r>
              <w:t xml:space="preserve">Primary storage (hardware)</w:t>
            </w:r>
          </w:p>
        </w:tc>
        <w:tc>
          <w:tcPr/>
          <w:p>
            <w:pPr>
              <w:pStyle w:val="Compact"/>
              <w:jc w:val="left"/>
            </w:pPr>
            <w:r>
              <w:t xml:space="preserve">Only 2–3% of global crypto users</w:t>
            </w:r>
            <w:r>
              <w:t xml:space="preserve"> </w:t>
            </w:r>
            <w:r>
              <w:rPr>
                <w:vertAlign w:val="superscript"/>
              </w:rPr>
              <w:footnoteReference w:id="35"/>
            </w:r>
          </w:p>
        </w:tc>
        <w:tc>
          <w:tcPr/>
          <w:p>
            <w:pPr>
              <w:pStyle w:val="Compact"/>
              <w:jc w:val="left"/>
            </w:pPr>
            <w:r>
              <w:t xml:space="preserve">SQ Magazine</w:t>
            </w:r>
          </w:p>
        </w:tc>
      </w:tr>
      <w:tr>
        <w:tc>
          <w:tcPr/>
          <w:p>
            <w:pPr>
              <w:pStyle w:val="Compact"/>
              <w:jc w:val="left"/>
            </w:pPr>
            <w:r>
              <w:t xml:space="preserve">CAC — DeFi protocols</w:t>
            </w:r>
          </w:p>
        </w:tc>
        <w:tc>
          <w:tcPr/>
          <w:p>
            <w:pPr>
              <w:pStyle w:val="Compact"/>
              <w:jc w:val="left"/>
            </w:pPr>
            <w:r>
              <w:t xml:space="preserve">~$85/user</w:t>
            </w:r>
            <w:r>
              <w:t xml:space="preserve"> </w:t>
            </w:r>
            <w:fldSimple w:instr="NOTEREF _Ref_Footnote_32 \h \f">
              <w:r>
                <w:rPr>
                  <w:vertAlign w:val="superscript"/>
                </w:rPr>
                <w:t>32</w:t>
              </w:r>
            </w:fldSimple>
          </w:p>
        </w:tc>
        <w:tc>
          <w:tcPr/>
          <w:p>
            <w:pPr>
              <w:pStyle w:val="Compact"/>
              <w:jc w:val="left"/>
            </w:pPr>
            <w:r>
              <w:t xml:space="preserve">GrowthChain</w:t>
            </w:r>
          </w:p>
        </w:tc>
      </w:tr>
      <w:tr>
        <w:tc>
          <w:tcPr/>
          <w:p>
            <w:pPr>
              <w:pStyle w:val="Compact"/>
              <w:jc w:val="left"/>
            </w:pPr>
            <w:r>
              <w:t xml:space="preserve">CAC — Crypto exchanges</w:t>
            </w:r>
          </w:p>
        </w:tc>
        <w:tc>
          <w:tcPr/>
          <w:p>
            <w:pPr>
              <w:pStyle w:val="Compact"/>
              <w:jc w:val="left"/>
            </w:pPr>
            <w:r>
              <w:t xml:space="preserve">~$150/customer</w:t>
            </w:r>
            <w:r>
              <w:t xml:space="preserve"> </w:t>
            </w:r>
            <w:fldSimple w:instr="NOTEREF _Ref_Footnote_32 \h \f">
              <w:r>
                <w:rPr>
                  <w:vertAlign w:val="superscript"/>
                </w:rPr>
                <w:t>32</w:t>
              </w:r>
            </w:fldSimple>
          </w:p>
        </w:tc>
        <w:tc>
          <w:tcPr/>
          <w:p>
            <w:pPr>
              <w:pStyle w:val="Compact"/>
              <w:jc w:val="left"/>
            </w:pPr>
            <w:r>
              <w:t xml:space="preserve">GrowthChain</w:t>
            </w:r>
          </w:p>
        </w:tc>
      </w:tr>
      <w:tr>
        <w:tc>
          <w:tcPr/>
          <w:p>
            <w:pPr>
              <w:pStyle w:val="Compact"/>
              <w:jc w:val="left"/>
            </w:pPr>
            <w:r>
              <w:t xml:space="preserve">Self-custody preference (Europe)</w:t>
            </w:r>
          </w:p>
        </w:tc>
        <w:tc>
          <w:tcPr/>
          <w:p>
            <w:pPr>
              <w:pStyle w:val="Compact"/>
              <w:jc w:val="left"/>
            </w:pPr>
            <w:r>
              <w:t xml:space="preserve">58% of users</w:t>
            </w:r>
            <w:r>
              <w:t xml:space="preserve"> </w:t>
            </w:r>
            <w:r>
              <w:rPr>
                <w:vertAlign w:val="superscript"/>
              </w:rPr>
              <w:footnoteReference w:id="36"/>
            </w:r>
          </w:p>
        </w:tc>
        <w:tc>
          <w:tcPr/>
          <w:p>
            <w:pPr>
              <w:pStyle w:val="Compact"/>
              <w:jc w:val="left"/>
            </w:pPr>
            <w:r>
              <w:t xml:space="preserve">Business Research Insights</w:t>
            </w:r>
          </w:p>
        </w:tc>
      </w:tr>
    </w:tbl>
    <w:bookmarkEnd w:id="31"/>
    <w:bookmarkStart w:id="35" w:name="som-by-segment-and-year"/>
    <w:p>
      <w:pPr>
        <w:pStyle w:val="Heading3"/>
      </w:pPr>
      <w:r>
        <w:t xml:space="preserve">SOM by Segment and Year</w:t>
      </w:r>
    </w:p>
    <w:bookmarkStart w:id="32" w:name="segment-a-hardware-wallets"/>
    <w:p>
      <w:pPr>
        <w:pStyle w:val="Heading4"/>
      </w:pPr>
      <w:r>
        <w:t xml:space="preserve">Segment A: Hardware Wallets</w:t>
      </w:r>
    </w:p>
    <w:tbl>
      <w:tblPr>
        <w:tblStyle w:val="Table"/>
        <w:tblW w:type="pct" w:w="5000"/>
        <w:tblLook w:firstRow="1" w:lastRow="0" w:firstColumn="0" w:lastColumn="0" w:noHBand="0" w:noVBand="0" w:val="0020"/>
      </w:tblPr>
      <w:tblGrid>
        <w:gridCol w:w="990"/>
        <w:gridCol w:w="2145"/>
        <w:gridCol w:w="1980"/>
        <w:gridCol w:w="2805"/>
      </w:tblGrid>
      <w:tr>
        <w:trPr>
          <w:tblHeader w:val="true"/>
        </w:trPr>
        <w:tc>
          <w:tcPr/>
          <w:p>
            <w:pPr>
              <w:pStyle w:val="Compact"/>
              <w:jc w:val="left"/>
            </w:pPr>
            <w:r>
              <w:t xml:space="preserve">Year</w:t>
            </w:r>
          </w:p>
        </w:tc>
        <w:tc>
          <w:tcPr/>
          <w:p>
            <w:pPr>
              <w:pStyle w:val="Compact"/>
              <w:jc w:val="left"/>
            </w:pPr>
            <w:r>
              <w:t xml:space="preserve">Conservative</w:t>
            </w:r>
          </w:p>
        </w:tc>
        <w:tc>
          <w:tcPr/>
          <w:p>
            <w:pPr>
              <w:pStyle w:val="Compact"/>
              <w:jc w:val="left"/>
            </w:pPr>
            <w:r>
              <w:t xml:space="preserve">Optimistic</w:t>
            </w:r>
          </w:p>
        </w:tc>
        <w:tc>
          <w:tcPr/>
          <w:p>
            <w:pPr>
              <w:pStyle w:val="Compact"/>
              <w:jc w:val="left"/>
            </w:pPr>
            <w:r>
              <w:t xml:space="preserve">Key Assumptions</w:t>
            </w:r>
          </w:p>
        </w:tc>
      </w:tr>
      <w:tr>
        <w:tc>
          <w:tcPr/>
          <w:p>
            <w:pPr>
              <w:pStyle w:val="Compact"/>
              <w:jc w:val="left"/>
            </w:pPr>
            <w:r>
              <w:t xml:space="preserve">Year 1</w:t>
            </w:r>
          </w:p>
        </w:tc>
        <w:tc>
          <w:tcPr/>
          <w:p>
            <w:pPr>
              <w:pStyle w:val="Compact"/>
              <w:jc w:val="left"/>
            </w:pPr>
            <w:r>
              <w:t xml:space="preserve">€180K–€360K</w:t>
            </w:r>
          </w:p>
        </w:tc>
        <w:tc>
          <w:tcPr/>
          <w:p>
            <w:pPr>
              <w:pStyle w:val="Compact"/>
              <w:jc w:val="left"/>
            </w:pPr>
            <w:r>
              <w:t xml:space="preserve">€360K–€600K</w:t>
            </w:r>
          </w:p>
        </w:tc>
        <w:tc>
          <w:tcPr/>
          <w:p>
            <w:pPr>
              <w:pStyle w:val="Compact"/>
              <w:jc w:val="left"/>
            </w:pPr>
            <w:r>
              <w:t xml:space="preserve">0.5–1.0% share; 2K–5K units @ €120 ASP</w:t>
            </w:r>
          </w:p>
        </w:tc>
      </w:tr>
      <w:tr>
        <w:tc>
          <w:tcPr/>
          <w:p>
            <w:pPr>
              <w:pStyle w:val="Compact"/>
              <w:jc w:val="left"/>
            </w:pPr>
            <w:r>
              <w:t xml:space="preserve">Year 2</w:t>
            </w:r>
          </w:p>
        </w:tc>
        <w:tc>
          <w:tcPr/>
          <w:p>
            <w:pPr>
              <w:pStyle w:val="Compact"/>
              <w:jc w:val="left"/>
            </w:pPr>
            <w:r>
              <w:t xml:space="preserve">€540K–€1.8M</w:t>
            </w:r>
          </w:p>
        </w:tc>
        <w:tc>
          <w:tcPr/>
          <w:p>
            <w:pPr>
              <w:pStyle w:val="Compact"/>
              <w:jc w:val="left"/>
            </w:pPr>
            <w:r>
              <w:t xml:space="preserve">€1.2M–€3M</w:t>
            </w:r>
          </w:p>
        </w:tc>
        <w:tc>
          <w:tcPr/>
          <w:p>
            <w:pPr>
              <w:pStyle w:val="Compact"/>
              <w:jc w:val="left"/>
            </w:pPr>
            <w:r>
              <w:t xml:space="preserve">1.5–3.0% share; 8K–20K units</w:t>
            </w:r>
          </w:p>
        </w:tc>
      </w:tr>
      <w:tr>
        <w:tc>
          <w:tcPr/>
          <w:p>
            <w:pPr>
              <w:pStyle w:val="Compact"/>
              <w:jc w:val="left"/>
            </w:pPr>
            <w:r>
              <w:t xml:space="preserve">Year 3</w:t>
            </w:r>
          </w:p>
        </w:tc>
        <w:tc>
          <w:tcPr/>
          <w:p>
            <w:pPr>
              <w:pStyle w:val="Compact"/>
              <w:jc w:val="left"/>
            </w:pPr>
            <w:r>
              <w:t xml:space="preserve">€1.1M–€3M</w:t>
            </w:r>
          </w:p>
        </w:tc>
        <w:tc>
          <w:tcPr/>
          <w:p>
            <w:pPr>
              <w:pStyle w:val="Compact"/>
              <w:jc w:val="left"/>
            </w:pPr>
            <w:r>
              <w:t xml:space="preserve">€2.4M–€5M</w:t>
            </w:r>
          </w:p>
        </w:tc>
        <w:tc>
          <w:tcPr/>
          <w:p>
            <w:pPr>
              <w:pStyle w:val="Compact"/>
              <w:jc w:val="left"/>
            </w:pPr>
            <w:r>
              <w:t xml:space="preserve">3.0–5.0% share; 15K–35K units @ €120–150</w:t>
            </w:r>
          </w:p>
        </w:tc>
      </w:tr>
    </w:tbl>
    <w:p>
      <w:pPr>
        <w:numPr>
          <w:ilvl w:val="0"/>
          <w:numId w:val="1007"/>
        </w:numPr>
        <w:pStyle w:val="Compact"/>
      </w:pPr>
      <w:r>
        <w:t xml:space="preserve">Hardware is the hardest segment: Ledger ($100M+ revenue, 3.5M units in 2024)</w:t>
      </w:r>
      <w:r>
        <w:t xml:space="preserve"> </w:t>
      </w:r>
      <w:fldSimple w:instr="NOTEREF _Ref_Footnote_31 \h \f">
        <w:r>
          <w:rPr>
            <w:vertAlign w:val="superscript"/>
          </w:rPr>
          <w:t>31</w:t>
        </w:r>
      </w:fldSimple>
      <w:r>
        <w:t xml:space="preserve">and Trezor ($47.2M revenue, 2.4M units)</w:t>
      </w:r>
      <w:r>
        <w:t xml:space="preserve"> </w:t>
      </w:r>
      <w:r>
        <w:rPr>
          <w:vertAlign w:val="superscript"/>
        </w:rPr>
        <w:footnoteReference w:id="37"/>
      </w:r>
      <w:r>
        <w:t xml:space="preserve">dominate shelf space and distribution.</w:t>
      </w:r>
    </w:p>
    <w:p>
      <w:pPr>
        <w:numPr>
          <w:ilvl w:val="0"/>
          <w:numId w:val="1007"/>
        </w:numPr>
        <w:pStyle w:val="Compact"/>
      </w:pPr>
      <w:r>
        <w:t xml:space="preserve">Bitcoin-only positioning (e.g., BitBox model) offers differentiation but caps addressable user base.</w:t>
      </w:r>
    </w:p>
    <w:bookmarkEnd w:id="32"/>
    <w:bookmarkStart w:id="33" w:name="segment-b-software-p2p"/>
    <w:p>
      <w:pPr>
        <w:pStyle w:val="Heading4"/>
      </w:pPr>
      <w:r>
        <w:t xml:space="preserve">Segment B: Software / P2P</w:t>
      </w:r>
    </w:p>
    <w:tbl>
      <w:tblPr>
        <w:tblStyle w:val="Table"/>
        <w:tblW w:type="pct" w:w="5000"/>
        <w:tblLook w:firstRow="1" w:lastRow="0" w:firstColumn="0" w:lastColumn="0" w:noHBand="0" w:noVBand="0" w:val="0020"/>
      </w:tblPr>
      <w:tblGrid>
        <w:gridCol w:w="990"/>
        <w:gridCol w:w="2145"/>
        <w:gridCol w:w="1980"/>
        <w:gridCol w:w="2805"/>
      </w:tblGrid>
      <w:tr>
        <w:trPr>
          <w:tblHeader w:val="true"/>
        </w:trPr>
        <w:tc>
          <w:tcPr/>
          <w:p>
            <w:pPr>
              <w:pStyle w:val="Compact"/>
              <w:jc w:val="left"/>
            </w:pPr>
            <w:r>
              <w:t xml:space="preserve">Year</w:t>
            </w:r>
          </w:p>
        </w:tc>
        <w:tc>
          <w:tcPr/>
          <w:p>
            <w:pPr>
              <w:pStyle w:val="Compact"/>
              <w:jc w:val="left"/>
            </w:pPr>
            <w:r>
              <w:t xml:space="preserve">Conservative</w:t>
            </w:r>
          </w:p>
        </w:tc>
        <w:tc>
          <w:tcPr/>
          <w:p>
            <w:pPr>
              <w:pStyle w:val="Compact"/>
              <w:jc w:val="left"/>
            </w:pPr>
            <w:r>
              <w:t xml:space="preserve">Optimistic</w:t>
            </w:r>
          </w:p>
        </w:tc>
        <w:tc>
          <w:tcPr/>
          <w:p>
            <w:pPr>
              <w:pStyle w:val="Compact"/>
              <w:jc w:val="left"/>
            </w:pPr>
            <w:r>
              <w:t xml:space="preserve">Key Assumptions</w:t>
            </w:r>
          </w:p>
        </w:tc>
      </w:tr>
      <w:tr>
        <w:tc>
          <w:tcPr/>
          <w:p>
            <w:pPr>
              <w:pStyle w:val="Compact"/>
              <w:jc w:val="left"/>
            </w:pPr>
            <w:r>
              <w:t xml:space="preserve">Year 1</w:t>
            </w:r>
          </w:p>
        </w:tc>
        <w:tc>
          <w:tcPr/>
          <w:p>
            <w:pPr>
              <w:pStyle w:val="Compact"/>
              <w:jc w:val="left"/>
            </w:pPr>
            <w:r>
              <w:t xml:space="preserve">€200K–€500K</w:t>
            </w:r>
          </w:p>
        </w:tc>
        <w:tc>
          <w:tcPr/>
          <w:p>
            <w:pPr>
              <w:pStyle w:val="Compact"/>
              <w:jc w:val="left"/>
            </w:pPr>
            <w:r>
              <w:t xml:space="preserve">€400K–€800K</w:t>
            </w:r>
          </w:p>
        </w:tc>
        <w:tc>
          <w:tcPr/>
          <w:p>
            <w:pPr>
              <w:pStyle w:val="Compact"/>
              <w:jc w:val="left"/>
            </w:pPr>
            <w:r>
              <w:t xml:space="preserve">0.3–0.8% share; 5K–15K users × €50–80 ARPU</w:t>
            </w:r>
          </w:p>
        </w:tc>
      </w:tr>
      <w:tr>
        <w:tc>
          <w:tcPr/>
          <w:p>
            <w:pPr>
              <w:pStyle w:val="Compact"/>
              <w:jc w:val="left"/>
            </w:pPr>
            <w:r>
              <w:t xml:space="preserve">Year 2</w:t>
            </w:r>
          </w:p>
        </w:tc>
        <w:tc>
          <w:tcPr/>
          <w:p>
            <w:pPr>
              <w:pStyle w:val="Compact"/>
              <w:jc w:val="left"/>
            </w:pPr>
            <w:r>
              <w:t xml:space="preserve">€800K–€2M</w:t>
            </w:r>
          </w:p>
        </w:tc>
        <w:tc>
          <w:tcPr/>
          <w:p>
            <w:pPr>
              <w:pStyle w:val="Compact"/>
              <w:jc w:val="left"/>
            </w:pPr>
            <w:r>
              <w:t xml:space="preserve">€2M–€4M</w:t>
            </w:r>
          </w:p>
        </w:tc>
        <w:tc>
          <w:tcPr/>
          <w:p>
            <w:pPr>
              <w:pStyle w:val="Compact"/>
              <w:jc w:val="left"/>
            </w:pPr>
            <w:r>
              <w:t xml:space="preserve">1.0–2.5% share; 20K–50K users × €60–100 ARPU</w:t>
            </w:r>
          </w:p>
        </w:tc>
      </w:tr>
      <w:tr>
        <w:tc>
          <w:tcPr/>
          <w:p>
            <w:pPr>
              <w:pStyle w:val="Compact"/>
              <w:jc w:val="left"/>
            </w:pPr>
            <w:r>
              <w:t xml:space="preserve">Year 3</w:t>
            </w:r>
          </w:p>
        </w:tc>
        <w:tc>
          <w:tcPr/>
          <w:p>
            <w:pPr>
              <w:pStyle w:val="Compact"/>
              <w:jc w:val="left"/>
            </w:pPr>
            <w:r>
              <w:t xml:space="preserve">€1.5M–€4M</w:t>
            </w:r>
          </w:p>
        </w:tc>
        <w:tc>
          <w:tcPr/>
          <w:p>
            <w:pPr>
              <w:pStyle w:val="Compact"/>
              <w:jc w:val="left"/>
            </w:pPr>
            <w:r>
              <w:t xml:space="preserve">€4M–€8M</w:t>
            </w:r>
          </w:p>
        </w:tc>
        <w:tc>
          <w:tcPr/>
          <w:p>
            <w:pPr>
              <w:pStyle w:val="Compact"/>
              <w:jc w:val="left"/>
            </w:pPr>
            <w:r>
              <w:t xml:space="preserve">2.0–4.0% share; 40K–80K users × €70–120 ARPU</w:t>
            </w:r>
          </w:p>
        </w:tc>
      </w:tr>
    </w:tbl>
    <w:p>
      <w:pPr>
        <w:numPr>
          <w:ilvl w:val="0"/>
          <w:numId w:val="1008"/>
        </w:numPr>
        <w:pStyle w:val="Compact"/>
      </w:pPr>
      <w:r>
        <w:t xml:space="preserve">P2P is more accessible but constrained by network effects: liquidity requires users; users require liquidity.</w:t>
      </w:r>
    </w:p>
    <w:p>
      <w:pPr>
        <w:numPr>
          <w:ilvl w:val="0"/>
          <w:numId w:val="1008"/>
        </w:numPr>
        <w:pStyle w:val="Compact"/>
      </w:pPr>
      <w:r>
        <w:t xml:space="preserve">Peach Bitcoin generates ~€105K/year gross (500K CHF/month × 2% fee)</w:t>
      </w:r>
      <w:r>
        <w:t xml:space="preserve"> </w:t>
      </w:r>
      <w:r>
        <w:rPr>
          <w:vertAlign w:val="superscript"/>
        </w:rPr>
        <w:footnoteReference w:id="38"/>
      </w:r>
      <w:r>
        <w:t xml:space="preserve">— demonstrating early-stage revenue potential.</w:t>
      </w:r>
    </w:p>
    <w:bookmarkEnd w:id="33"/>
    <w:bookmarkStart w:id="34" w:name="X6a89b40051229c2d120f15de76d9611a6c2d8bd"/>
    <w:p>
      <w:pPr>
        <w:pStyle w:val="Heading4"/>
      </w:pPr>
      <w:r>
        <w:t xml:space="preserve">Segment C: Services (Consulting, Hosting, Education)</w:t>
      </w:r>
    </w:p>
    <w:tbl>
      <w:tblPr>
        <w:tblStyle w:val="Table"/>
        <w:tblW w:type="pct" w:w="5000"/>
        <w:tblLook w:firstRow="1" w:lastRow="0" w:firstColumn="0" w:lastColumn="0" w:noHBand="0" w:noVBand="0" w:val="0020"/>
      </w:tblPr>
      <w:tblGrid>
        <w:gridCol w:w="990"/>
        <w:gridCol w:w="2145"/>
        <w:gridCol w:w="1980"/>
        <w:gridCol w:w="2805"/>
      </w:tblGrid>
      <w:tr>
        <w:trPr>
          <w:tblHeader w:val="true"/>
        </w:trPr>
        <w:tc>
          <w:tcPr/>
          <w:p>
            <w:pPr>
              <w:pStyle w:val="Compact"/>
              <w:jc w:val="left"/>
            </w:pPr>
            <w:r>
              <w:t xml:space="preserve">Year</w:t>
            </w:r>
          </w:p>
        </w:tc>
        <w:tc>
          <w:tcPr/>
          <w:p>
            <w:pPr>
              <w:pStyle w:val="Compact"/>
              <w:jc w:val="left"/>
            </w:pPr>
            <w:r>
              <w:t xml:space="preserve">Conservative</w:t>
            </w:r>
          </w:p>
        </w:tc>
        <w:tc>
          <w:tcPr/>
          <w:p>
            <w:pPr>
              <w:pStyle w:val="Compact"/>
              <w:jc w:val="left"/>
            </w:pPr>
            <w:r>
              <w:t xml:space="preserve">Optimistic</w:t>
            </w:r>
          </w:p>
        </w:tc>
        <w:tc>
          <w:tcPr/>
          <w:p>
            <w:pPr>
              <w:pStyle w:val="Compact"/>
              <w:jc w:val="left"/>
            </w:pPr>
            <w:r>
              <w:t xml:space="preserve">Key Assumptions</w:t>
            </w:r>
          </w:p>
        </w:tc>
      </w:tr>
      <w:tr>
        <w:tc>
          <w:tcPr/>
          <w:p>
            <w:pPr>
              <w:pStyle w:val="Compact"/>
              <w:jc w:val="left"/>
            </w:pPr>
            <w:r>
              <w:t xml:space="preserve">Year 1</w:t>
            </w:r>
          </w:p>
        </w:tc>
        <w:tc>
          <w:tcPr/>
          <w:p>
            <w:pPr>
              <w:pStyle w:val="Compact"/>
              <w:jc w:val="left"/>
            </w:pPr>
            <w:r>
              <w:t xml:space="preserve">€500K–€1M</w:t>
            </w:r>
          </w:p>
        </w:tc>
        <w:tc>
          <w:tcPr/>
          <w:p>
            <w:pPr>
              <w:pStyle w:val="Compact"/>
              <w:jc w:val="left"/>
            </w:pPr>
            <w:r>
              <w:t xml:space="preserve">€1M–€2M</w:t>
            </w:r>
          </w:p>
        </w:tc>
        <w:tc>
          <w:tcPr/>
          <w:p>
            <w:pPr>
              <w:pStyle w:val="Compact"/>
              <w:jc w:val="left"/>
            </w:pPr>
            <w:r>
              <w:t xml:space="preserve">1.0–2.0% share; 10–20 clients × €5K–10K ACV</w:t>
            </w:r>
          </w:p>
        </w:tc>
      </w:tr>
      <w:tr>
        <w:tc>
          <w:tcPr/>
          <w:p>
            <w:pPr>
              <w:pStyle w:val="Compact"/>
              <w:jc w:val="left"/>
            </w:pPr>
            <w:r>
              <w:t xml:space="preserve">Year 2</w:t>
            </w:r>
          </w:p>
        </w:tc>
        <w:tc>
          <w:tcPr/>
          <w:p>
            <w:pPr>
              <w:pStyle w:val="Compact"/>
              <w:jc w:val="left"/>
            </w:pPr>
            <w:r>
              <w:t xml:space="preserve">€1M–€3M</w:t>
            </w:r>
          </w:p>
        </w:tc>
        <w:tc>
          <w:tcPr/>
          <w:p>
            <w:pPr>
              <w:pStyle w:val="Compact"/>
              <w:jc w:val="left"/>
            </w:pPr>
            <w:r>
              <w:t xml:space="preserve">€3M–€6M</w:t>
            </w:r>
          </w:p>
        </w:tc>
        <w:tc>
          <w:tcPr/>
          <w:p>
            <w:pPr>
              <w:pStyle w:val="Compact"/>
              <w:jc w:val="left"/>
            </w:pPr>
            <w:r>
              <w:t xml:space="preserve">2.0–4.0% share; 30–80 clients × €8K–15K ACV</w:t>
            </w:r>
          </w:p>
        </w:tc>
      </w:tr>
      <w:tr>
        <w:tc>
          <w:tcPr/>
          <w:p>
            <w:pPr>
              <w:pStyle w:val="Compact"/>
              <w:jc w:val="left"/>
            </w:pPr>
            <w:r>
              <w:t xml:space="preserve">Year 3</w:t>
            </w:r>
          </w:p>
        </w:tc>
        <w:tc>
          <w:tcPr/>
          <w:p>
            <w:pPr>
              <w:pStyle w:val="Compact"/>
              <w:jc w:val="left"/>
            </w:pPr>
            <w:r>
              <w:t xml:space="preserve">€2M–€6M</w:t>
            </w:r>
          </w:p>
        </w:tc>
        <w:tc>
          <w:tcPr/>
          <w:p>
            <w:pPr>
              <w:pStyle w:val="Compact"/>
              <w:jc w:val="left"/>
            </w:pPr>
            <w:r>
              <w:t xml:space="preserve">€6M–€12M</w:t>
            </w:r>
          </w:p>
        </w:tc>
        <w:tc>
          <w:tcPr/>
          <w:p>
            <w:pPr>
              <w:pStyle w:val="Compact"/>
              <w:jc w:val="left"/>
            </w:pPr>
            <w:r>
              <w:t xml:space="preserve">4.0–7.0% share; 60–150 clients × €10K–20K ACV</w:t>
            </w:r>
          </w:p>
        </w:tc>
      </w:tr>
    </w:tbl>
    <w:p>
      <w:pPr>
        <w:numPr>
          <w:ilvl w:val="0"/>
          <w:numId w:val="1009"/>
        </w:numPr>
        <w:pStyle w:val="Compact"/>
      </w:pPr>
      <w:r>
        <w:t xml:space="preserve">Services offer the lowest barrier to entry and fastest revenue generation, but lower scalability than product businesses.</w:t>
      </w:r>
    </w:p>
    <w:p>
      <w:pPr>
        <w:numPr>
          <w:ilvl w:val="0"/>
          <w:numId w:val="1009"/>
        </w:numPr>
        <w:pStyle w:val="Compact"/>
      </w:pPr>
      <w:r>
        <w:t xml:space="preserve">Revenue tied to human capital; requires deep technical expertise in Bitcoin infrastructure.</w:t>
      </w:r>
    </w:p>
    <w:bookmarkEnd w:id="34"/>
    <w:bookmarkEnd w:id="35"/>
    <w:bookmarkStart w:id="36" w:name="X58987b96758b2ad6a94f8759afce95fc5549e08"/>
    <w:p>
      <w:pPr>
        <w:pStyle w:val="Heading3"/>
      </w:pPr>
      <w:r>
        <w:t xml:space="preserve">Blended SOM — Recommended Multi-Segment Approach</w:t>
      </w:r>
    </w:p>
    <w:p>
      <w:pPr>
        <w:pStyle w:val="FirstParagraph"/>
      </w:pPr>
      <w:r>
        <w:t xml:space="preserve">A realistic new entrant combines segments for diversification:</w:t>
      </w:r>
    </w:p>
    <w:tbl>
      <w:tblPr>
        <w:tblStyle w:val="Table"/>
        <w:tblW w:type="pct" w:w="5000"/>
        <w:tblLook w:firstRow="1" w:lastRow="0" w:firstColumn="0" w:lastColumn="0" w:noHBand="0" w:noVBand="0" w:val="0020"/>
      </w:tblPr>
      <w:tblGrid>
        <w:gridCol w:w="880"/>
        <w:gridCol w:w="2786"/>
        <w:gridCol w:w="2640"/>
        <w:gridCol w:w="1613"/>
      </w:tblGrid>
      <w:tr>
        <w:trPr>
          <w:tblHeader w:val="true"/>
        </w:trPr>
        <w:tc>
          <w:tcPr/>
          <w:p>
            <w:pPr>
              <w:pStyle w:val="Compact"/>
              <w:jc w:val="left"/>
            </w:pPr>
            <w:r>
              <w:t xml:space="preserve">Year</w:t>
            </w:r>
          </w:p>
        </w:tc>
        <w:tc>
          <w:tcPr/>
          <w:p>
            <w:pPr>
              <w:pStyle w:val="Compact"/>
              <w:jc w:val="left"/>
            </w:pPr>
            <w:r>
              <w:t xml:space="preserve">Conservative Blend</w:t>
            </w:r>
          </w:p>
        </w:tc>
        <w:tc>
          <w:tcPr/>
          <w:p>
            <w:pPr>
              <w:pStyle w:val="Compact"/>
              <w:jc w:val="left"/>
            </w:pPr>
            <w:r>
              <w:t xml:space="preserve">Optimistic Blend</w:t>
            </w:r>
          </w:p>
        </w:tc>
        <w:tc>
          <w:tcPr/>
          <w:p>
            <w:pPr>
              <w:pStyle w:val="Compact"/>
              <w:jc w:val="left"/>
            </w:pPr>
            <w:r>
              <w:t xml:space="preserve">Rationale</w:t>
            </w:r>
          </w:p>
        </w:tc>
      </w:tr>
      <w:tr>
        <w:tc>
          <w:tcPr/>
          <w:p>
            <w:pPr>
              <w:pStyle w:val="Compact"/>
              <w:jc w:val="left"/>
            </w:pPr>
            <w:r>
              <w:t xml:space="preserve">Year 1</w:t>
            </w:r>
          </w:p>
        </w:tc>
        <w:tc>
          <w:tcPr/>
          <w:p>
            <w:pPr>
              <w:pStyle w:val="Compact"/>
              <w:jc w:val="left"/>
            </w:pPr>
            <w:r>
              <w:t xml:space="preserve">€800K–€1.5M</w:t>
            </w:r>
          </w:p>
        </w:tc>
        <w:tc>
          <w:tcPr/>
          <w:p>
            <w:pPr>
              <w:pStyle w:val="Compact"/>
              <w:jc w:val="left"/>
            </w:pPr>
            <w:r>
              <w:t xml:space="preserve">€1.8M–€3.5M</w:t>
            </w:r>
          </w:p>
        </w:tc>
        <w:tc>
          <w:tcPr/>
          <w:p>
            <w:pPr>
              <w:pStyle w:val="Compact"/>
              <w:jc w:val="left"/>
            </w:pPr>
            <w:r>
              <w:t xml:space="preserve">Services for cash flow + software for scale</w:t>
            </w:r>
          </w:p>
        </w:tc>
      </w:tr>
      <w:tr>
        <w:tc>
          <w:tcPr/>
          <w:p>
            <w:pPr>
              <w:pStyle w:val="Compact"/>
              <w:jc w:val="left"/>
            </w:pPr>
            <w:r>
              <w:t xml:space="preserve">Year 2</w:t>
            </w:r>
          </w:p>
        </w:tc>
        <w:tc>
          <w:tcPr/>
          <w:p>
            <w:pPr>
              <w:pStyle w:val="Compact"/>
              <w:jc w:val="left"/>
            </w:pPr>
            <w:r>
              <w:t xml:space="preserve">€2M–€4M</w:t>
            </w:r>
          </w:p>
        </w:tc>
        <w:tc>
          <w:tcPr/>
          <w:p>
            <w:pPr>
              <w:pStyle w:val="Compact"/>
              <w:jc w:val="left"/>
            </w:pPr>
            <w:r>
              <w:t xml:space="preserve">€5M–€10M</w:t>
            </w:r>
          </w:p>
        </w:tc>
        <w:tc>
          <w:tcPr/>
          <w:p>
            <w:pPr>
              <w:pStyle w:val="Compact"/>
              <w:jc w:val="left"/>
            </w:pPr>
            <w:r>
              <w:t xml:space="preserve">Software growth + potential hardware launch</w:t>
            </w:r>
          </w:p>
        </w:tc>
      </w:tr>
      <w:tr>
        <w:tc>
          <w:tcPr/>
          <w:p>
            <w:pPr>
              <w:pStyle w:val="Compact"/>
              <w:jc w:val="left"/>
            </w:pPr>
            <w:r>
              <w:t xml:space="preserve">Year 3</w:t>
            </w:r>
          </w:p>
        </w:tc>
        <w:tc>
          <w:tcPr/>
          <w:p>
            <w:pPr>
              <w:pStyle w:val="Compact"/>
              <w:jc w:val="left"/>
            </w:pPr>
            <w:r>
              <w:t xml:space="preserve">€4M–€8M</w:t>
            </w:r>
          </w:p>
        </w:tc>
        <w:tc>
          <w:tcPr/>
          <w:p>
            <w:pPr>
              <w:pStyle w:val="Compact"/>
              <w:jc w:val="left"/>
            </w:pPr>
            <w:r>
              <w:t xml:space="preserve">€10M–€20M</w:t>
            </w:r>
          </w:p>
        </w:tc>
        <w:tc>
          <w:tcPr/>
          <w:p>
            <w:pPr>
              <w:pStyle w:val="Compact"/>
              <w:jc w:val="left"/>
            </w:pPr>
            <w:r>
              <w:t xml:space="preserve">Multi-product offering, established brand</w:t>
            </w:r>
          </w:p>
        </w:tc>
      </w:tr>
    </w:tbl>
    <w:p>
      <w:pPr>
        <w:numPr>
          <w:ilvl w:val="0"/>
          <w:numId w:val="1010"/>
        </w:numPr>
        <w:pStyle w:val="Compact"/>
      </w:pPr>
      <w:r>
        <w:rPr>
          <w:bCs/>
          <w:b/>
        </w:rPr>
        <w:t xml:space="preserve">Realistic target for a well-funded Bitcoin-only entrant</w:t>
      </w:r>
      <w:r>
        <w:t xml:space="preserve">: Year 1 at €1.5M–€2.5M (services-led), Year 2 at €4M–€7M (software scaling), Year 3 at €8M–€15M (multi-product).</w:t>
      </w:r>
    </w:p>
    <w:p>
      <w:pPr>
        <w:numPr>
          <w:ilvl w:val="0"/>
          <w:numId w:val="1010"/>
        </w:numPr>
        <w:pStyle w:val="Compact"/>
      </w:pPr>
      <w:r>
        <w:rPr>
          <w:bCs/>
          <w:b/>
        </w:rPr>
        <w:t xml:space="preserve">Capital requirements</w:t>
      </w:r>
      <w:r>
        <w:t xml:space="preserve">: Software/services entry at €200K–€500K; hardware entry at €1M–€3M (R&amp;D + certification + inventory).</w:t>
      </w:r>
    </w:p>
    <w:p>
      <w:r>
        <w:pict>
          <v:rect style="width:0;height:1.5pt" o:hralign="center" o:hrstd="t" o:hr="t"/>
        </w:pict>
      </w:r>
    </w:p>
    <w:bookmarkEnd w:id="36"/>
    <w:bookmarkEnd w:id="37"/>
    <w:bookmarkStart w:id="39" w:name="summary-data-card-tam-sam-som"/>
    <w:p>
      <w:pPr>
        <w:pStyle w:val="Heading2"/>
      </w:pPr>
      <w:r>
        <w:t xml:space="preserve">Summary Data Card: TAM / SAM / SOM</w:t>
      </w:r>
    </w:p>
    <w:tbl>
      <w:tblPr>
        <w:tblStyle w:val="Table"/>
        <w:tblW w:type="pct" w:w="5000"/>
        <w:tblLook w:firstRow="1" w:lastRow="0" w:firstColumn="0" w:lastColumn="0" w:noHBand="0" w:noVBand="0" w:val="0020"/>
      </w:tblPr>
      <w:tblGrid>
        <w:gridCol w:w="1026"/>
        <w:gridCol w:w="1906"/>
        <w:gridCol w:w="1906"/>
        <w:gridCol w:w="3080"/>
      </w:tblGrid>
      <w:tr>
        <w:trPr>
          <w:tblHeader w:val="true"/>
        </w:trPr>
        <w:tc>
          <w:tcPr/>
          <w:p>
            <w:pPr>
              <w:pStyle w:val="Compact"/>
              <w:jc w:val="left"/>
            </w:pPr>
            <w:r>
              <w:t xml:space="preserve">Layer</w:t>
            </w:r>
          </w:p>
        </w:tc>
        <w:tc>
          <w:tcPr/>
          <w:p>
            <w:pPr>
              <w:pStyle w:val="Compact"/>
              <w:jc w:val="left"/>
            </w:pPr>
            <w:r>
              <w:t xml:space="preserve">Value (2025)</w:t>
            </w:r>
          </w:p>
        </w:tc>
        <w:tc>
          <w:tcPr/>
          <w:p>
            <w:pPr>
              <w:pStyle w:val="Compact"/>
              <w:jc w:val="left"/>
            </w:pPr>
            <w:r>
              <w:t xml:space="preserve">% of Parent</w:t>
            </w:r>
          </w:p>
        </w:tc>
        <w:tc>
          <w:tcPr/>
          <w:p>
            <w:pPr>
              <w:pStyle w:val="Compact"/>
              <w:jc w:val="left"/>
            </w:pPr>
            <w:r>
              <w:t xml:space="preserve">Key Characteristics</w:t>
            </w:r>
          </w:p>
        </w:tc>
      </w:tr>
      <w:tr>
        <w:tc>
          <w:tcPr/>
          <w:p>
            <w:pPr>
              <w:pStyle w:val="Compact"/>
              <w:jc w:val="left"/>
            </w:pPr>
            <w:r>
              <w:rPr>
                <w:bCs/>
                <w:b/>
              </w:rPr>
              <w:t xml:space="preserve">TAM</w:t>
            </w:r>
          </w:p>
        </w:tc>
        <w:tc>
          <w:tcPr/>
          <w:p>
            <w:pPr>
              <w:pStyle w:val="Compact"/>
              <w:jc w:val="left"/>
            </w:pPr>
            <w:r>
              <w:t xml:space="preserve">$8.7–11.3B</w:t>
            </w:r>
          </w:p>
        </w:tc>
        <w:tc>
          <w:tcPr/>
          <w:p>
            <w:pPr>
              <w:pStyle w:val="Compact"/>
              <w:jc w:val="left"/>
            </w:pPr>
            <w:r>
              <w:t xml:space="preserve">100%</w:t>
            </w:r>
          </w:p>
        </w:tc>
        <w:tc>
          <w:tcPr/>
          <w:p>
            <w:pPr>
              <w:pStyle w:val="Compact"/>
              <w:jc w:val="left"/>
            </w:pPr>
            <w:r>
              <w:t xml:space="preserve">All Bitcoin-only services in Europe; top-down reconciled</w:t>
            </w:r>
          </w:p>
        </w:tc>
      </w:tr>
      <w:tr>
        <w:tc>
          <w:tcPr/>
          <w:p>
            <w:pPr>
              <w:pStyle w:val="Compact"/>
              <w:jc w:val="left"/>
            </w:pPr>
            <w:r>
              <w:rPr>
                <w:bCs/>
                <w:b/>
              </w:rPr>
              <w:t xml:space="preserve">SAM</w:t>
            </w:r>
          </w:p>
        </w:tc>
        <w:tc>
          <w:tcPr/>
          <w:p>
            <w:pPr>
              <w:pStyle w:val="Compact"/>
              <w:jc w:val="left"/>
            </w:pPr>
            <w:r>
              <w:t xml:space="preserve">$1.52–1.95B</w:t>
            </w:r>
          </w:p>
        </w:tc>
        <w:tc>
          <w:tcPr/>
          <w:p>
            <w:pPr>
              <w:pStyle w:val="Compact"/>
              <w:jc w:val="left"/>
            </w:pPr>
            <w:r>
              <w:t xml:space="preserve">~17% of TAM</w:t>
            </w:r>
          </w:p>
        </w:tc>
        <w:tc>
          <w:tcPr/>
          <w:p>
            <w:pPr>
              <w:pStyle w:val="Compact"/>
              <w:jc w:val="left"/>
            </w:pPr>
            <w:r>
              <w:t xml:space="preserve">Non-MiCA segment; zero compliance costs; 19.5% CAGR to 2030</w:t>
            </w:r>
          </w:p>
        </w:tc>
      </w:tr>
      <w:tr>
        <w:tc>
          <w:tcPr/>
          <w:p>
            <w:pPr>
              <w:pStyle w:val="Compact"/>
              <w:jc w:val="left"/>
            </w:pPr>
            <w:r>
              <w:rPr>
                <w:bCs/>
                <w:b/>
              </w:rPr>
              <w:t xml:space="preserve">SOM (Y1)</w:t>
            </w:r>
          </w:p>
        </w:tc>
        <w:tc>
          <w:tcPr/>
          <w:p>
            <w:pPr>
              <w:pStyle w:val="Compact"/>
              <w:jc w:val="left"/>
            </w:pPr>
            <w:r>
              <w:t xml:space="preserve">€1.8–4.5M</w:t>
            </w:r>
          </w:p>
        </w:tc>
        <w:tc>
          <w:tcPr/>
          <w:p>
            <w:pPr>
              <w:pStyle w:val="Compact"/>
              <w:jc w:val="left"/>
            </w:pPr>
            <w:r>
              <w:t xml:space="preserve">~0.1% of SAM</w:t>
            </w:r>
          </w:p>
        </w:tc>
        <w:tc>
          <w:tcPr/>
          <w:p>
            <w:pPr>
              <w:pStyle w:val="Compact"/>
              <w:jc w:val="left"/>
            </w:pPr>
            <w:r>
              <w:t xml:space="preserve">New entrant realistic capture; services-led strategy</w:t>
            </w:r>
          </w:p>
        </w:tc>
      </w:tr>
      <w:tr>
        <w:tc>
          <w:tcPr/>
          <w:p>
            <w:pPr>
              <w:pStyle w:val="Compact"/>
              <w:jc w:val="left"/>
            </w:pPr>
            <w:r>
              <w:rPr>
                <w:bCs/>
                <w:b/>
              </w:rPr>
              <w:t xml:space="preserve">SOM (Y3)</w:t>
            </w:r>
          </w:p>
        </w:tc>
        <w:tc>
          <w:tcPr/>
          <w:p>
            <w:pPr>
              <w:pStyle w:val="Compact"/>
              <w:jc w:val="left"/>
            </w:pPr>
            <w:r>
              <w:t xml:space="preserve">€5–12M</w:t>
            </w:r>
          </w:p>
        </w:tc>
        <w:tc>
          <w:tcPr/>
          <w:p>
            <w:pPr>
              <w:pStyle w:val="Compact"/>
              <w:jc w:val="left"/>
            </w:pPr>
            <w:r>
              <w:t xml:space="preserve">~0.4% of SAM</w:t>
            </w:r>
          </w:p>
        </w:tc>
        <w:tc>
          <w:tcPr/>
          <w:p>
            <w:pPr>
              <w:pStyle w:val="Compact"/>
              <w:jc w:val="left"/>
            </w:pPr>
            <w:r>
              <w:t xml:space="preserve">Multi-product; hardware + software + services blend</w:t>
            </w:r>
          </w:p>
        </w:tc>
      </w:tr>
    </w:tbl>
    <w:bookmarkStart w:id="38" w:name="key-structural-insights"/>
    <w:p>
      <w:pPr>
        <w:pStyle w:val="Heading3"/>
      </w:pPr>
      <w:r>
        <w:t xml:space="preserve">Key Structural Insights</w:t>
      </w:r>
    </w:p>
    <w:p>
      <w:pPr>
        <w:numPr>
          <w:ilvl w:val="0"/>
          <w:numId w:val="1011"/>
        </w:numPr>
        <w:pStyle w:val="Compact"/>
      </w:pPr>
      <w:r>
        <w:rPr>
          <w:bCs/>
          <w:b/>
        </w:rPr>
        <w:t xml:space="preserve">Non-custodial wallets dominate SAM</w:t>
      </w:r>
      <w:r>
        <w:t xml:space="preserve"> </w:t>
      </w:r>
      <w:r>
        <w:t xml:space="preserve">($1.06B combined hardware + software = ~70% of total SAM)</w:t>
      </w:r>
      <w:r>
        <w:t xml:space="preserve"> </w:t>
      </w:r>
      <w:fldSimple w:instr="NOTEREF _Ref_Footnote_11 \h \f">
        <w:r>
          <w:rPr>
            <w:vertAlign w:val="superscript"/>
          </w:rPr>
          <w:t>11</w:t>
        </w:r>
      </w:fldSimple>
      <w:r>
        <w:t xml:space="preserve">— driven by European privacy consciousness and post-MiCA self-custody migration.</w:t>
      </w:r>
    </w:p>
    <w:p>
      <w:pPr>
        <w:numPr>
          <w:ilvl w:val="0"/>
          <w:numId w:val="1011"/>
        </w:numPr>
        <w:pStyle w:val="Compact"/>
      </w:pPr>
      <w:r>
        <w:rPr>
          <w:bCs/>
          <w:b/>
        </w:rPr>
        <w:t xml:space="preserve">MiCA’s exclusionary framework is a feature, not a bug</w:t>
      </w:r>
      <w:r>
        <w:t xml:space="preserve"> </w:t>
      </w:r>
      <w:r>
        <w:t xml:space="preserve">— it creates competitive moats for services that structurally cannot be regulated as CASPs</w:t>
      </w:r>
      <w:r>
        <w:t xml:space="preserve"> </w:t>
      </w:r>
      <w:fldSimple w:instr="NOTEREF _Ref_Footnote_24 \h \f">
        <w:r>
          <w:rPr>
            <w:vertAlign w:val="superscript"/>
          </w:rPr>
          <w:t>24</w:t>
        </w:r>
      </w:fldSimple>
      <w:r>
        <w:t xml:space="preserve"> </w:t>
      </w:r>
      <w:fldSimple w:instr="NOTEREF _Ref_Footnote_2 \h \f">
        <w:r>
          <w:rPr>
            <w:vertAlign w:val="superscript"/>
          </w:rPr>
          <w:t>2</w:t>
        </w:r>
      </w:fldSimple>
      <w:r>
        <w:t xml:space="preserve">.</w:t>
      </w:r>
    </w:p>
    <w:p>
      <w:pPr>
        <w:numPr>
          <w:ilvl w:val="0"/>
          <w:numId w:val="1011"/>
        </w:numPr>
        <w:pStyle w:val="Compact"/>
      </w:pPr>
      <w:r>
        <w:rPr>
          <w:bCs/>
          <w:b/>
        </w:rPr>
        <w:t xml:space="preserve">Hardware wallet penetration remains &lt;15% globally</w:t>
      </w:r>
      <w:r>
        <w:t xml:space="preserve"> </w:t>
      </w:r>
      <w:fldSimple w:instr="NOTEREF _Ref_Footnote_34 \h \f">
        <w:r>
          <w:rPr>
            <w:vertAlign w:val="superscript"/>
          </w:rPr>
          <w:t>34</w:t>
        </w:r>
      </w:fldSimple>
      <w:r>
        <w:t xml:space="preserve">— massive expansion runway remains despite Ledger/Trezor dominance.</w:t>
      </w:r>
    </w:p>
    <w:p>
      <w:pPr>
        <w:numPr>
          <w:ilvl w:val="0"/>
          <w:numId w:val="1011"/>
        </w:numPr>
        <w:pStyle w:val="Compact"/>
      </w:pPr>
      <w:r>
        <w:rPr>
          <w:bCs/>
          <w:b/>
        </w:rPr>
        <w:t xml:space="preserve">Lightning Network is nascent but exponential</w:t>
      </w:r>
      <w:r>
        <w:t xml:space="preserve"> </w:t>
      </w:r>
      <w:r>
        <w:t xml:space="preserve">— 266% YoY volume growth</w:t>
      </w:r>
      <w:r>
        <w:t xml:space="preserve"> </w:t>
      </w:r>
      <w:fldSimple w:instr="NOTEREF _Ref_Footnote_12 \h \f">
        <w:r>
          <w:rPr>
            <w:vertAlign w:val="superscript"/>
          </w:rPr>
          <w:t>12</w:t>
        </w:r>
      </w:fldSimple>
      <w:r>
        <w:t xml:space="preserve">; Europe’s 27% infrastructure share is not yet monetized at the services layer.</w:t>
      </w:r>
    </w:p>
    <w:p>
      <w:pPr>
        <w:numPr>
          <w:ilvl w:val="0"/>
          <w:numId w:val="1011"/>
        </w:numPr>
        <w:pStyle w:val="Compact"/>
      </w:pPr>
      <w:r>
        <w:rPr>
          <w:bCs/>
          <w:b/>
        </w:rPr>
        <w:t xml:space="preserve">The 85% of TAM under MiCA jurisdiction faces rising compliance costs</w:t>
      </w:r>
      <w:r>
        <w:t xml:space="preserve"> </w:t>
      </w:r>
      <w:r>
        <w:t xml:space="preserve">— driving user migration toward the 15% non-MiCA SAM as enforcement tightens</w:t>
      </w:r>
      <w:r>
        <w:t xml:space="preserve"> </w:t>
      </w:r>
      <w:fldSimple w:instr="NOTEREF _Ref_Footnote_30 \h \f">
        <w:r>
          <w:rPr>
            <w:vertAlign w:val="superscript"/>
          </w:rPr>
          <w:t>30</w:t>
        </w:r>
      </w:fldSimple>
      <w:r>
        <w:t xml:space="preserve">.</w:t>
      </w:r>
    </w:p>
    <w:bookmarkEnd w:id="38"/>
    <w:bookmarkEnd w:id="39"/>
    <w:bookmarkStart w:id="46" w:name="top-5-trends-shaping-demand"/>
    <w:p>
      <w:pPr>
        <w:pStyle w:val="Heading2"/>
      </w:pPr>
      <w:r>
        <w:t xml:space="preserve">2. Top 5 Trends Shaping Demand</w:t>
      </w:r>
    </w:p>
    <w:p>
      <w:pPr>
        <w:pStyle w:val="FirstParagraph"/>
      </w:pPr>
      <w:r>
        <w:t xml:space="preserve">This chapter identifies five evidence-backed demand trends that are structurally reconfiguring how European individuals and institutions access, hold, and transact with Bitcoin. Each trend is quantified with 2025 data, European-specific evidence, and forward projections through 2028.</w:t>
      </w:r>
    </w:p>
    <w:tbl>
      <w:tblPr>
        <w:tblStyle w:val="Table"/>
        <w:tblW w:type="pct" w:w="5000"/>
        <w:tblLook w:firstRow="1" w:lastRow="0" w:firstColumn="0" w:lastColumn="0" w:noHBand="0" w:noVBand="0" w:val="0020"/>
      </w:tblPr>
      <w:tblGrid>
        <w:gridCol w:w="864"/>
        <w:gridCol w:w="1007"/>
        <w:gridCol w:w="2880"/>
        <w:gridCol w:w="3168"/>
      </w:tblGrid>
      <w:tr>
        <w:trPr>
          <w:tblHeader w:val="true"/>
        </w:trPr>
        <w:tc>
          <w:tcPr/>
          <w:p>
            <w:pPr>
              <w:pStyle w:val="Compact"/>
              <w:jc w:val="left"/>
            </w:pPr>
            <w:r>
              <w:t xml:space="preserve">Rank</w:t>
            </w:r>
          </w:p>
        </w:tc>
        <w:tc>
          <w:tcPr/>
          <w:p>
            <w:pPr>
              <w:pStyle w:val="Compact"/>
              <w:jc w:val="left"/>
            </w:pPr>
            <w:r>
              <w:t xml:space="preserve">Trend</w:t>
            </w:r>
          </w:p>
        </w:tc>
        <w:tc>
          <w:tcPr/>
          <w:p>
            <w:pPr>
              <w:pStyle w:val="Compact"/>
              <w:jc w:val="left"/>
            </w:pPr>
            <w:r>
              <w:t xml:space="preserve">Key Metric (2025)</w:t>
            </w:r>
          </w:p>
        </w:tc>
        <w:tc>
          <w:tcPr/>
          <w:p>
            <w:pPr>
              <w:pStyle w:val="Compact"/>
              <w:jc w:val="left"/>
            </w:pPr>
            <w:r>
              <w:t xml:space="preserve">Primary Beneficiaries</w:t>
            </w:r>
          </w:p>
        </w:tc>
      </w:tr>
      <w:tr>
        <w:tc>
          <w:tcPr/>
          <w:p>
            <w:pPr>
              <w:pStyle w:val="Compact"/>
              <w:jc w:val="left"/>
            </w:pPr>
            <w:r>
              <w:t xml:space="preserve">1</w:t>
            </w:r>
          </w:p>
        </w:tc>
        <w:tc>
          <w:tcPr/>
          <w:p>
            <w:pPr>
              <w:pStyle w:val="Compact"/>
              <w:jc w:val="left"/>
            </w:pPr>
            <w:r>
              <w:t xml:space="preserve">Regulatory Arbitrage Post-MiCA</w:t>
            </w:r>
          </w:p>
        </w:tc>
        <w:tc>
          <w:tcPr/>
          <w:p>
            <w:pPr>
              <w:pStyle w:val="Compact"/>
              <w:jc w:val="left"/>
            </w:pPr>
            <w:r>
              <w:t xml:space="preserve">58% European users on non-custodial wallets</w:t>
            </w:r>
            <w:r>
              <w:t xml:space="preserve"> </w:t>
            </w:r>
            <w:fldSimple w:instr="NOTEREF _Ref_Footnote_29 \h \f">
              <w:r>
                <w:rPr>
                  <w:vertAlign w:val="superscript"/>
                </w:rPr>
                <w:t>29</w:t>
              </w:r>
            </w:fldSimple>
          </w:p>
        </w:tc>
        <w:tc>
          <w:tcPr/>
          <w:p>
            <w:pPr>
              <w:pStyle w:val="Compact"/>
              <w:jc w:val="left"/>
            </w:pPr>
            <w:r>
              <w:t xml:space="preserve">Non-custodial wallets, P2P exchanges</w:t>
            </w:r>
          </w:p>
        </w:tc>
      </w:tr>
      <w:tr>
        <w:tc>
          <w:tcPr/>
          <w:p>
            <w:pPr>
              <w:pStyle w:val="Compact"/>
              <w:jc w:val="left"/>
            </w:pPr>
            <w:r>
              <w:t xml:space="preserve">2</w:t>
            </w:r>
          </w:p>
        </w:tc>
        <w:tc>
          <w:tcPr/>
          <w:p>
            <w:pPr>
              <w:pStyle w:val="Compact"/>
              <w:jc w:val="left"/>
            </w:pPr>
            <w:r>
              <w:t xml:space="preserve">The Self-Custody Movement</w:t>
            </w:r>
          </w:p>
        </w:tc>
        <w:tc>
          <w:tcPr/>
          <w:p>
            <w:pPr>
              <w:pStyle w:val="Compact"/>
              <w:jc w:val="left"/>
            </w:pPr>
            <w:r>
              <w:t xml:space="preserve">100–120K BTC monthly exchange outflows</w:t>
            </w:r>
            <w:r>
              <w:t xml:space="preserve"> </w:t>
            </w:r>
            <w:r>
              <w:rPr>
                <w:vertAlign w:val="superscript"/>
              </w:rPr>
              <w:footnoteReference w:id="39"/>
            </w:r>
          </w:p>
        </w:tc>
        <w:tc>
          <w:tcPr/>
          <w:p>
            <w:pPr>
              <w:pStyle w:val="Compact"/>
              <w:jc w:val="left"/>
            </w:pPr>
            <w:r>
              <w:t xml:space="preserve">Hardware wallets, multisig services</w:t>
            </w:r>
          </w:p>
        </w:tc>
      </w:tr>
      <w:tr>
        <w:tc>
          <w:tcPr/>
          <w:p>
            <w:pPr>
              <w:pStyle w:val="Compact"/>
              <w:jc w:val="left"/>
            </w:pPr>
            <w:r>
              <w:t xml:space="preserve">3</w:t>
            </w:r>
          </w:p>
        </w:tc>
        <w:tc>
          <w:tcPr/>
          <w:p>
            <w:pPr>
              <w:pStyle w:val="Compact"/>
              <w:jc w:val="left"/>
            </w:pPr>
            <w:r>
              <w:t xml:space="preserve">Lightning Network Infrastructure</w:t>
            </w:r>
          </w:p>
        </w:tc>
        <w:tc>
          <w:tcPr/>
          <w:p>
            <w:pPr>
              <w:pStyle w:val="Compact"/>
              <w:jc w:val="left"/>
            </w:pPr>
            <w:r>
              <w:t xml:space="preserve">266% YoY volume growth</w:t>
            </w:r>
            <w:r>
              <w:t xml:space="preserve"> </w:t>
            </w:r>
            <w:fldSimple w:instr="NOTEREF _Ref_Footnote_7 \h \f">
              <w:r>
                <w:rPr>
                  <w:vertAlign w:val="superscript"/>
                </w:rPr>
                <w:t>7</w:t>
              </w:r>
            </w:fldSimple>
          </w:p>
        </w:tc>
        <w:tc>
          <w:tcPr/>
          <w:p>
            <w:pPr>
              <w:pStyle w:val="Compact"/>
              <w:jc w:val="left"/>
            </w:pPr>
            <w:r>
              <w:t xml:space="preserve">Payment processors, merchant gateways</w:t>
            </w:r>
          </w:p>
        </w:tc>
      </w:tr>
      <w:tr>
        <w:tc>
          <w:tcPr/>
          <w:p>
            <w:pPr>
              <w:pStyle w:val="Compact"/>
              <w:jc w:val="left"/>
            </w:pPr>
            <w:r>
              <w:t xml:space="preserve">4</w:t>
            </w:r>
          </w:p>
        </w:tc>
        <w:tc>
          <w:tcPr/>
          <w:p>
            <w:pPr>
              <w:pStyle w:val="Compact"/>
              <w:jc w:val="left"/>
            </w:pPr>
            <w:r>
              <w:t xml:space="preserve">Institutional Bitcoin-Only Products</w:t>
            </w:r>
          </w:p>
        </w:tc>
        <w:tc>
          <w:tcPr/>
          <w:p>
            <w:pPr>
              <w:pStyle w:val="Compact"/>
              <w:jc w:val="left"/>
            </w:pPr>
            <w:r>
              <w:t xml:space="preserve">3% avg. allocation; ETP AUM tripled</w:t>
            </w:r>
            <w:r>
              <w:t xml:space="preserve"> </w:t>
            </w:r>
            <w:r>
              <w:rPr>
                <w:vertAlign w:val="superscript"/>
              </w:rPr>
              <w:footnoteReference w:id="40"/>
            </w:r>
          </w:p>
        </w:tc>
        <w:tc>
          <w:tcPr/>
          <w:p>
            <w:pPr>
              <w:pStyle w:val="Compact"/>
              <w:jc w:val="left"/>
            </w:pPr>
            <w:r>
              <w:t xml:space="preserve">Custody providers, ETP issuers</w:t>
            </w:r>
          </w:p>
        </w:tc>
      </w:tr>
      <w:tr>
        <w:tc>
          <w:tcPr/>
          <w:p>
            <w:pPr>
              <w:pStyle w:val="Compact"/>
              <w:jc w:val="left"/>
            </w:pPr>
            <w:r>
              <w:t xml:space="preserve">5</w:t>
            </w:r>
          </w:p>
        </w:tc>
        <w:tc>
          <w:tcPr/>
          <w:p>
            <w:pPr>
              <w:pStyle w:val="Compact"/>
              <w:jc w:val="left"/>
            </w:pPr>
            <w:r>
              <w:t xml:space="preserve">Sovereign Wealth Protection</w:t>
            </w:r>
          </w:p>
        </w:tc>
        <w:tc>
          <w:tcPr/>
          <w:p>
            <w:pPr>
              <w:pStyle w:val="Compact"/>
              <w:jc w:val="left"/>
            </w:pPr>
            <w:r>
              <w:t xml:space="preserve">46% use crypto as inflation hedge</w:t>
            </w:r>
            <w:r>
              <w:t xml:space="preserve"> </w:t>
            </w:r>
            <w:r>
              <w:rPr>
                <w:vertAlign w:val="superscript"/>
              </w:rPr>
              <w:footnoteReference w:id="41"/>
            </w:r>
          </w:p>
        </w:tc>
        <w:tc>
          <w:tcPr/>
          <w:p>
            <w:pPr>
              <w:pStyle w:val="Compact"/>
              <w:jc w:val="left"/>
            </w:pPr>
            <w:r>
              <w:t xml:space="preserve">Savings apps, cold storage, advisory</w:t>
            </w:r>
          </w:p>
        </w:tc>
      </w:tr>
    </w:tbl>
    <w:p>
      <w:r>
        <w:pict>
          <v:rect style="width:0;height:1.5pt" o:hralign="center" o:hrstd="t" o:hr="t"/>
        </w:pict>
      </w:r>
    </w:p>
    <w:bookmarkStart w:id="40" w:name="trend-1-regulatory-arbitrage-post-mica"/>
    <w:p>
      <w:pPr>
        <w:pStyle w:val="Heading3"/>
      </w:pPr>
      <w:r>
        <w:t xml:space="preserve">2.1 Trend 1: Regulatory Arbitrage Post-MiCA</w:t>
      </w:r>
    </w:p>
    <w:p>
      <w:pPr>
        <w:pStyle w:val="FirstParagraph"/>
      </w:pPr>
      <w:r>
        <w:rPr>
          <w:bCs/>
          <w:b/>
        </w:rPr>
        <w:t xml:space="preserve">Description.</w:t>
      </w:r>
      <w:r>
        <w:t xml:space="preserve"> </w:t>
      </w:r>
      <w:r>
        <w:t xml:space="preserve">MiCA’s explicit exclusion of</w:t>
      </w:r>
      <w:r>
        <w:t xml:space="preserve"> </w:t>
      </w:r>
      <w:r>
        <w:t xml:space="preserve">“</w:t>
      </w:r>
      <w:r>
        <w:t xml:space="preserve">hardware or software providers of non-custodial wallets</w:t>
      </w:r>
      <w:r>
        <w:t xml:space="preserve">”</w:t>
      </w:r>
      <w:r>
        <w:t xml:space="preserve"> </w:t>
      </w:r>
      <w:r>
        <w:t xml:space="preserve">from its scope</w:t>
      </w:r>
      <w:r>
        <w:t xml:space="preserve"> </w:t>
      </w:r>
      <w:r>
        <w:rPr>
          <w:vertAlign w:val="superscript"/>
        </w:rPr>
        <w:footnoteReference w:id="42"/>
      </w:r>
      <w:r>
        <w:t xml:space="preserve">creates a regulatory safe harbor that is accelerating demand migration from custodial to self-custody services. As of early 2025, over 50 CASPs had lost their licenses due to MiCA non-compliance</w:t>
      </w:r>
      <w:r>
        <w:t xml:space="preserve"> </w:t>
      </w:r>
      <w:fldSimple w:instr="NOTEREF _Ref_Footnote_30 \h \f">
        <w:r>
          <w:rPr>
            <w:vertAlign w:val="superscript"/>
          </w:rPr>
          <w:t>30</w:t>
        </w:r>
      </w:fldSimple>
      <w:r>
        <w:t xml:space="preserve"> </w:t>
      </w:r>
      <w:r>
        <w:rPr>
          <w:vertAlign w:val="superscript"/>
        </w:rPr>
        <w:footnoteReference w:id="43"/>
      </w:r>
      <w:r>
        <w:t xml:space="preserve">, while only 12 CASPs and 10 EMT issuers had obtained licenses out of 3,000+ registered VASPs</w:t>
      </w:r>
      <w:r>
        <w:t xml:space="preserve"> </w:t>
      </w:r>
      <w:fldSimple w:instr="NOTEREF _Ref_Footnote_30 \h \f">
        <w:r>
          <w:rPr>
            <w:vertAlign w:val="superscript"/>
          </w:rPr>
          <w:t>30</w:t>
        </w:r>
      </w:fldSimple>
      <w:r>
        <w:t xml:space="preserve">. This custodial-platform contraction is funneling users toward Bitcoin-only, non-custodial alternatives that operate entirely outside MiCA’s licensing framework.</w:t>
      </w:r>
    </w:p>
    <w:p>
      <w:pPr>
        <w:pStyle w:val="BodyText"/>
      </w:pPr>
      <w:r>
        <w:rPr>
          <w:bCs/>
          <w:b/>
        </w:rPr>
        <w:t xml:space="preserve">Key Metrics.</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European users on non-custodial wallets</w:t>
            </w:r>
          </w:p>
        </w:tc>
        <w:tc>
          <w:tcPr/>
          <w:p>
            <w:pPr>
              <w:pStyle w:val="Compact"/>
              <w:jc w:val="left"/>
            </w:pPr>
            <w:r>
              <w:t xml:space="preserve">58%</w:t>
            </w:r>
            <w:r>
              <w:t xml:space="preserve"> </w:t>
            </w:r>
            <w:fldSimple w:instr="NOTEREF _Ref_Footnote_29 \h \f">
              <w:r>
                <w:rPr>
                  <w:vertAlign w:val="superscript"/>
                </w:rPr>
                <w:t>29</w:t>
              </w:r>
            </w:fldSimple>
          </w:p>
        </w:tc>
        <w:tc>
          <w:tcPr/>
          <w:p>
            <w:pPr>
              <w:pStyle w:val="Compact"/>
              <w:jc w:val="left"/>
            </w:pPr>
            <w:r>
              <w:t xml:space="preserve">Business Research Insights, 2026</w:t>
            </w:r>
          </w:p>
        </w:tc>
      </w:tr>
      <w:tr>
        <w:tc>
          <w:tcPr/>
          <w:p>
            <w:pPr>
              <w:pStyle w:val="Compact"/>
              <w:jc w:val="left"/>
            </w:pPr>
            <w:r>
              <w:t xml:space="preserve">Global non-custodial wallet preference</w:t>
            </w:r>
          </w:p>
        </w:tc>
        <w:tc>
          <w:tcPr/>
          <w:p>
            <w:pPr>
              <w:pStyle w:val="Compact"/>
              <w:jc w:val="left"/>
            </w:pPr>
            <w:r>
              <w:t xml:space="preserve">59% (up from prior years)</w:t>
            </w:r>
            <w:r>
              <w:t xml:space="preserve"> </w:t>
            </w:r>
            <w:fldSimple w:instr="NOTEREF _Ref_Footnote_35 \h \f">
              <w:r>
                <w:rPr>
                  <w:vertAlign w:val="superscript"/>
                </w:rPr>
                <w:t>35</w:t>
              </w:r>
            </w:fldSimple>
          </w:p>
        </w:tc>
        <w:tc>
          <w:tcPr/>
          <w:p>
            <w:pPr>
              <w:pStyle w:val="Compact"/>
              <w:jc w:val="left"/>
            </w:pPr>
            <w:r>
              <w:t xml:space="preserve">CoinLaw, 2026</w:t>
            </w:r>
          </w:p>
        </w:tc>
      </w:tr>
      <w:tr>
        <w:tc>
          <w:tcPr/>
          <w:p>
            <w:pPr>
              <w:pStyle w:val="Compact"/>
              <w:jc w:val="left"/>
            </w:pPr>
            <w:r>
              <w:t xml:space="preserve">Non-custodial wallet market size</w:t>
            </w:r>
          </w:p>
        </w:tc>
        <w:tc>
          <w:tcPr/>
          <w:p>
            <w:pPr>
              <w:pStyle w:val="Compact"/>
              <w:jc w:val="left"/>
            </w:pPr>
            <w:r>
              <w:t xml:space="preserve">$3 billion; 25% CAGR</w:t>
            </w:r>
            <w:r>
              <w:t xml:space="preserve"> </w:t>
            </w:r>
            <w:fldSimple w:instr="NOTEREF _Ref_Footnote_35 \h \f">
              <w:r>
                <w:rPr>
                  <w:vertAlign w:val="superscript"/>
                </w:rPr>
                <w:t>35</w:t>
              </w:r>
            </w:fldSimple>
            <w:r>
              <w:t xml:space="preserve"> </w:t>
            </w:r>
            <w:fldSimple w:instr="NOTEREF _Ref_Footnote_3 \h \f">
              <w:r>
                <w:rPr>
                  <w:vertAlign w:val="superscript"/>
                </w:rPr>
                <w:t>3</w:t>
              </w:r>
            </w:fldSimple>
          </w:p>
        </w:tc>
        <w:tc>
          <w:tcPr/>
          <w:p>
            <w:pPr>
              <w:pStyle w:val="Compact"/>
              <w:jc w:val="left"/>
            </w:pPr>
            <w:r>
              <w:t xml:space="preserve">CoinLaw; SQ Magazine</w:t>
            </w:r>
          </w:p>
        </w:tc>
      </w:tr>
      <w:tr>
        <w:tc>
          <w:tcPr/>
          <w:p>
            <w:pPr>
              <w:pStyle w:val="Compact"/>
              <w:jc w:val="left"/>
            </w:pPr>
            <w:r>
              <w:t xml:space="preserve">CASPs losing MiCA licenses</w:t>
            </w:r>
          </w:p>
        </w:tc>
        <w:tc>
          <w:tcPr/>
          <w:p>
            <w:pPr>
              <w:pStyle w:val="Compact"/>
              <w:jc w:val="left"/>
            </w:pPr>
            <w:r>
              <w:t xml:space="preserve">50+ firms by Feb 2025</w:t>
            </w:r>
            <w:r>
              <w:t xml:space="preserve"> </w:t>
            </w:r>
            <w:fldSimple w:instr="NOTEREF _Ref_Footnote_30 \h \f">
              <w:r>
                <w:rPr>
                  <w:vertAlign w:val="superscript"/>
                </w:rPr>
                <w:t>30</w:t>
              </w:r>
            </w:fldSimple>
            <w:r>
              <w:t xml:space="preserve"> </w:t>
            </w:r>
            <w:fldSimple w:instr="NOTEREF _Ref_Footnote_43 \h \f">
              <w:r>
                <w:rPr>
                  <w:vertAlign w:val="superscript"/>
                </w:rPr>
                <w:t>43</w:t>
              </w:r>
            </w:fldSimple>
          </w:p>
        </w:tc>
        <w:tc>
          <w:tcPr/>
          <w:p>
            <w:pPr>
              <w:pStyle w:val="Compact"/>
              <w:jc w:val="left"/>
            </w:pPr>
            <w:r>
              <w:t xml:space="preserve">Cyfrin; Coincub</w:t>
            </w:r>
          </w:p>
        </w:tc>
      </w:tr>
      <w:tr>
        <w:tc>
          <w:tcPr/>
          <w:p>
            <w:pPr>
              <w:pStyle w:val="Compact"/>
              <w:jc w:val="left"/>
            </w:pPr>
            <w:r>
              <w:t xml:space="preserve">Licensed CASPs out of 3,000+ applicants</w:t>
            </w:r>
          </w:p>
        </w:tc>
        <w:tc>
          <w:tcPr/>
          <w:p>
            <w:pPr>
              <w:pStyle w:val="Compact"/>
              <w:jc w:val="left"/>
            </w:pPr>
            <w:r>
              <w:t xml:space="preserve">Only 12 CASPs, 10 EMT issuers</w:t>
            </w:r>
            <w:r>
              <w:t xml:space="preserve"> </w:t>
            </w:r>
            <w:fldSimple w:instr="NOTEREF _Ref_Footnote_30 \h \f">
              <w:r>
                <w:rPr>
                  <w:vertAlign w:val="superscript"/>
                </w:rPr>
                <w:t>30</w:t>
              </w:r>
            </w:fldSimple>
          </w:p>
        </w:tc>
        <w:tc>
          <w:tcPr/>
          <w:p>
            <w:pPr>
              <w:pStyle w:val="Compact"/>
              <w:jc w:val="left"/>
            </w:pPr>
            <w:r>
              <w:t xml:space="preserve">Eesti Firma, 2026</w:t>
            </w:r>
          </w:p>
        </w:tc>
      </w:tr>
      <w:tr>
        <w:tc>
          <w:tcPr/>
          <w:p>
            <w:pPr>
              <w:pStyle w:val="Compact"/>
              <w:jc w:val="left"/>
            </w:pPr>
            <w:r>
              <w:t xml:space="preserve">EU hardware wallet units shipped (2024)</w:t>
            </w:r>
          </w:p>
        </w:tc>
        <w:tc>
          <w:tcPr/>
          <w:p>
            <w:pPr>
              <w:pStyle w:val="Compact"/>
              <w:jc w:val="left"/>
            </w:pPr>
            <w:r>
              <w:t xml:space="preserve">1.6 million units</w:t>
            </w:r>
            <w:r>
              <w:t xml:space="preserve"> </w:t>
            </w:r>
            <w:fldSimple w:instr="NOTEREF _Ref_Footnote_27 \h \f">
              <w:r>
                <w:rPr>
                  <w:vertAlign w:val="superscript"/>
                </w:rPr>
                <w:t>27</w:t>
              </w:r>
            </w:fldSimple>
          </w:p>
        </w:tc>
        <w:tc>
          <w:tcPr/>
          <w:p>
            <w:pPr>
              <w:pStyle w:val="Compact"/>
              <w:jc w:val="left"/>
            </w:pPr>
            <w:r>
              <w:t xml:space="preserve">Market Growth Reports, 2025</w:t>
            </w:r>
          </w:p>
        </w:tc>
      </w:tr>
    </w:tbl>
    <w:p>
      <w:pPr>
        <w:pStyle w:val="BodyText"/>
      </w:pPr>
      <w:r>
        <w:rPr>
          <w:bCs/>
          <w:b/>
        </w:rPr>
        <w:t xml:space="preserve">European-Specific Evidence.</w:t>
      </w:r>
    </w:p>
    <w:p>
      <w:pPr>
        <w:numPr>
          <w:ilvl w:val="0"/>
          <w:numId w:val="1012"/>
        </w:numPr>
        <w:pStyle w:val="Compact"/>
      </w:pPr>
      <w:r>
        <w:t xml:space="preserve">Europe commands 30% of global hardware wallet demand — second-largest market globally</w:t>
      </w:r>
      <w:r>
        <w:t xml:space="preserve"> </w:t>
      </w:r>
      <w:fldSimple w:instr="NOTEREF _Ref_Footnote_27 \h \f">
        <w:r>
          <w:rPr>
            <w:vertAlign w:val="superscript"/>
          </w:rPr>
          <w:t>27</w:t>
        </w:r>
      </w:fldSimple>
      <w:r>
        <w:t xml:space="preserve">. Germany, France, and the Netherlands led sales growth, driven by favorable fintech regulations and high crypto literacy</w:t>
      </w:r>
      <w:r>
        <w:t xml:space="preserve"> </w:t>
      </w:r>
      <w:fldSimple w:instr="NOTEREF _Ref_Footnote_27 \h \f">
        <w:r>
          <w:rPr>
            <w:vertAlign w:val="superscript"/>
          </w:rPr>
          <w:t>27</w:t>
        </w:r>
      </w:fldSimple>
      <w:r>
        <w:t xml:space="preserve">.</w:t>
      </w:r>
    </w:p>
    <w:p>
      <w:pPr>
        <w:numPr>
          <w:ilvl w:val="0"/>
          <w:numId w:val="1012"/>
        </w:numPr>
        <w:pStyle w:val="Compact"/>
      </w:pPr>
      <w:r>
        <w:t xml:space="preserve">Relai (Switzerland) became the first Bitcoin-only startup to secure MiCA authorization in 2025, reporting 300% YoY user growth and 75,000+ registered users, with projected expansion from 8 million to 450 million addressable market</w:t>
      </w:r>
      <w:r>
        <w:t xml:space="preserve"> </w:t>
      </w:r>
      <w:r>
        <w:rPr>
          <w:vertAlign w:val="superscript"/>
        </w:rPr>
        <w:footnoteReference w:id="44"/>
      </w:r>
      <w:r>
        <w:t xml:space="preserve"> </w:t>
      </w:r>
      <w:r>
        <w:rPr>
          <w:vertAlign w:val="superscript"/>
        </w:rPr>
        <w:footnoteReference w:id="45"/>
      </w:r>
      <w:r>
        <w:t xml:space="preserve"> </w:t>
      </w:r>
      <w:r>
        <w:rPr>
          <w:vertAlign w:val="superscript"/>
        </w:rPr>
        <w:footnoteReference w:id="46"/>
      </w:r>
      <w:r>
        <w:t xml:space="preserve">.</w:t>
      </w:r>
    </w:p>
    <w:p>
      <w:pPr>
        <w:numPr>
          <w:ilvl w:val="0"/>
          <w:numId w:val="1012"/>
        </w:numPr>
        <w:pStyle w:val="Compact"/>
      </w:pPr>
      <w:r>
        <w:t xml:space="preserve">The hardware wallet market was valued at $680 million globally in 2025, projected to reach $4.77 billion by 2035 at 21% CAGR</w:t>
      </w:r>
      <w:r>
        <w:t xml:space="preserve"> </w:t>
      </w:r>
      <w:fldSimple w:instr="NOTEREF _Ref_Footnote_10 \h \f">
        <w:r>
          <w:rPr>
            <w:vertAlign w:val="superscript"/>
          </w:rPr>
          <w:t>10</w:t>
        </w:r>
      </w:fldSimple>
      <w:r>
        <w:t xml:space="preserve">. Ledger (France) and Trezor (Czech Republic) together control 62% of the global hardware wallet market</w:t>
      </w:r>
      <w:r>
        <w:t xml:space="preserve"> </w:t>
      </w:r>
      <w:fldSimple w:instr="NOTEREF _Ref_Footnote_3 \h \f">
        <w:r>
          <w:rPr>
            <w:vertAlign w:val="superscript"/>
          </w:rPr>
          <w:t>3</w:t>
        </w:r>
      </w:fldSimple>
      <w:r>
        <w:t xml:space="preserve">.</w:t>
      </w:r>
    </w:p>
    <w:p>
      <w:pPr>
        <w:numPr>
          <w:ilvl w:val="0"/>
          <w:numId w:val="1012"/>
        </w:numPr>
        <w:pStyle w:val="Compact"/>
      </w:pPr>
      <w:r>
        <w:t xml:space="preserve">Hardware and desktop wallets together represent 39% of regional wallet usage in Europe — significantly higher than the 31% global average</w:t>
      </w:r>
      <w:r>
        <w:t xml:space="preserve"> </w:t>
      </w:r>
      <w:r>
        <w:rPr>
          <w:vertAlign w:val="superscript"/>
        </w:rPr>
        <w:footnoteReference w:id="47"/>
      </w:r>
      <w:r>
        <w:t xml:space="preserve">.</w:t>
      </w:r>
    </w:p>
    <w:p>
      <w:pPr>
        <w:pStyle w:val="FirstParagraph"/>
      </w:pPr>
      <w:r>
        <w:rPr>
          <w:bCs/>
          <w:b/>
        </w:rPr>
        <w:t xml:space="preserve">Forward Projection (2026–2028).</w:t>
      </w:r>
    </w:p>
    <w:tbl>
      <w:tblPr>
        <w:tblStyle w:val="Table"/>
        <w:tblW w:type="pct" w:w="5000"/>
        <w:tblLook w:firstRow="1" w:lastRow="0" w:firstColumn="0" w:lastColumn="0" w:noHBand="0" w:noVBand="0" w:val="0020"/>
      </w:tblPr>
      <w:tblGrid>
        <w:gridCol w:w="1742"/>
        <w:gridCol w:w="2217"/>
        <w:gridCol w:w="2692"/>
        <w:gridCol w:w="1267"/>
      </w:tblGrid>
      <w:tr>
        <w:trPr>
          <w:tblHeader w:val="true"/>
        </w:trPr>
        <w:tc>
          <w:tcPr/>
          <w:p>
            <w:pPr>
              <w:pStyle w:val="Compact"/>
              <w:jc w:val="left"/>
            </w:pPr>
            <w:r>
              <w:t xml:space="preserve">Indicator</w:t>
            </w:r>
          </w:p>
        </w:tc>
        <w:tc>
          <w:tcPr/>
          <w:p>
            <w:pPr>
              <w:pStyle w:val="Compact"/>
              <w:jc w:val="left"/>
            </w:pPr>
            <w:r>
              <w:t xml:space="preserve">2025 Baseline</w:t>
            </w:r>
          </w:p>
        </w:tc>
        <w:tc>
          <w:tcPr/>
          <w:p>
            <w:pPr>
              <w:pStyle w:val="Compact"/>
              <w:jc w:val="left"/>
            </w:pPr>
            <w:r>
              <w:t xml:space="preserve">2028 Projection</w:t>
            </w:r>
          </w:p>
        </w:tc>
        <w:tc>
          <w:tcPr/>
          <w:p>
            <w:pPr>
              <w:pStyle w:val="Compact"/>
              <w:jc w:val="left"/>
            </w:pPr>
            <w:r>
              <w:t xml:space="preserve">Driver</w:t>
            </w:r>
          </w:p>
        </w:tc>
      </w:tr>
      <w:tr>
        <w:tc>
          <w:tcPr/>
          <w:p>
            <w:pPr>
              <w:pStyle w:val="Compact"/>
              <w:jc w:val="left"/>
            </w:pPr>
            <w:r>
              <w:t xml:space="preserve">Non-custodial wallet market</w:t>
            </w:r>
          </w:p>
        </w:tc>
        <w:tc>
          <w:tcPr/>
          <w:p>
            <w:pPr>
              <w:pStyle w:val="Compact"/>
              <w:jc w:val="left"/>
            </w:pPr>
            <w:r>
              <w:t xml:space="preserve">$3 billion</w:t>
            </w:r>
            <w:r>
              <w:t xml:space="preserve"> </w:t>
            </w:r>
            <w:fldSimple w:instr="NOTEREF _Ref_Footnote_35 \h \f">
              <w:r>
                <w:rPr>
                  <w:vertAlign w:val="superscript"/>
                </w:rPr>
                <w:t>35</w:t>
              </w:r>
            </w:fldSimple>
          </w:p>
        </w:tc>
        <w:tc>
          <w:tcPr/>
          <w:p>
            <w:pPr>
              <w:pStyle w:val="Compact"/>
              <w:jc w:val="left"/>
            </w:pPr>
            <w:r>
              <w:t xml:space="preserve">$10 billion</w:t>
            </w:r>
            <w:r>
              <w:t xml:space="preserve"> </w:t>
            </w:r>
            <w:fldSimple w:instr="NOTEREF _Ref_Footnote_35 \h \f">
              <w:r>
                <w:rPr>
                  <w:vertAlign w:val="superscript"/>
                </w:rPr>
                <w:t>35</w:t>
              </w:r>
            </w:fldSimple>
          </w:p>
        </w:tc>
        <w:tc>
          <w:tcPr/>
          <w:p>
            <w:pPr>
              <w:pStyle w:val="Compact"/>
              <w:jc w:val="left"/>
            </w:pPr>
            <w:r>
              <w:t xml:space="preserve">MiCA enforcement + user migration</w:t>
            </w:r>
          </w:p>
        </w:tc>
      </w:tr>
      <w:tr>
        <w:tc>
          <w:tcPr/>
          <w:p>
            <w:pPr>
              <w:pStyle w:val="Compact"/>
              <w:jc w:val="left"/>
            </w:pPr>
            <w:r>
              <w:t xml:space="preserve">European non-custodial adoption</w:t>
            </w:r>
          </w:p>
        </w:tc>
        <w:tc>
          <w:tcPr/>
          <w:p>
            <w:pPr>
              <w:pStyle w:val="Compact"/>
              <w:jc w:val="left"/>
            </w:pPr>
            <w:r>
              <w:t xml:space="preserve">58%</w:t>
            </w:r>
            <w:r>
              <w:t xml:space="preserve"> </w:t>
            </w:r>
            <w:fldSimple w:instr="NOTEREF _Ref_Footnote_29 \h \f">
              <w:r>
                <w:rPr>
                  <w:vertAlign w:val="superscript"/>
                </w:rPr>
                <w:t>29</w:t>
              </w:r>
            </w:fldSimple>
          </w:p>
        </w:tc>
        <w:tc>
          <w:tcPr/>
          <w:p>
            <w:pPr>
              <w:pStyle w:val="Compact"/>
              <w:jc w:val="left"/>
            </w:pPr>
            <w:r>
              <w:t xml:space="preserve">70%+</w:t>
            </w:r>
          </w:p>
        </w:tc>
        <w:tc>
          <w:tcPr/>
          <w:p>
            <w:pPr>
              <w:pStyle w:val="Compact"/>
              <w:jc w:val="left"/>
            </w:pPr>
            <w:r>
              <w:t xml:space="preserve">July 2026 compliance deadline</w:t>
            </w:r>
          </w:p>
        </w:tc>
      </w:tr>
      <w:tr>
        <w:tc>
          <w:tcPr/>
          <w:p>
            <w:pPr>
              <w:pStyle w:val="Compact"/>
              <w:jc w:val="left"/>
            </w:pPr>
            <w:r>
              <w:t xml:space="preserve">Hardware wallet market (global)</w:t>
            </w:r>
          </w:p>
        </w:tc>
        <w:tc>
          <w:tcPr/>
          <w:p>
            <w:pPr>
              <w:pStyle w:val="Compact"/>
              <w:jc w:val="left"/>
            </w:pPr>
            <w:r>
              <w:t xml:space="preserve">$680 million</w:t>
            </w:r>
            <w:r>
              <w:t xml:space="preserve"> </w:t>
            </w:r>
            <w:fldSimple w:instr="NOTEREF _Ref_Footnote_10 \h \f">
              <w:r>
                <w:rPr>
                  <w:vertAlign w:val="superscript"/>
                </w:rPr>
                <w:t>10</w:t>
              </w:r>
            </w:fldSimple>
          </w:p>
        </w:tc>
        <w:tc>
          <w:tcPr/>
          <w:p>
            <w:pPr>
              <w:pStyle w:val="Compact"/>
              <w:jc w:val="left"/>
            </w:pPr>
            <w:r>
              <w:t xml:space="preserve">$1.2 billion</w:t>
            </w:r>
          </w:p>
        </w:tc>
        <w:tc>
          <w:tcPr/>
          <w:p>
            <w:pPr>
              <w:pStyle w:val="Compact"/>
              <w:jc w:val="left"/>
            </w:pPr>
            <w:r>
              <w:t xml:space="preserve">Sustained self-custody migration</w:t>
            </w:r>
          </w:p>
        </w:tc>
      </w:tr>
    </w:tbl>
    <w:p>
      <w:pPr>
        <w:numPr>
          <w:ilvl w:val="0"/>
          <w:numId w:val="1013"/>
        </w:numPr>
        <w:pStyle w:val="Compact"/>
      </w:pPr>
      <w:r>
        <w:t xml:space="preserve">MiCA’s July 1, 2026 full enforcement deadline is projected to accelerate the exodus from non-compliant custodial platforms, driving further self-custody adoption.</w:t>
      </w:r>
    </w:p>
    <w:p>
      <w:pPr>
        <w:numPr>
          <w:ilvl w:val="0"/>
          <w:numId w:val="1013"/>
        </w:numPr>
        <w:pStyle w:val="Compact"/>
      </w:pPr>
      <w:r>
        <w:t xml:space="preserve">The distinction between CASP-regulated custodial services and exempt non-custodial tools is projected to become the primary axis of Bitcoin service architecture in Europe.</w:t>
      </w:r>
    </w:p>
    <w:p>
      <w:r>
        <w:pict>
          <v:rect style="width:0;height:1.5pt" o:hralign="center" o:hrstd="t" o:hr="t"/>
        </w:pict>
      </w:r>
    </w:p>
    <w:bookmarkEnd w:id="40"/>
    <w:bookmarkStart w:id="41" w:name="trend-2-the-self-custody-movement"/>
    <w:p>
      <w:pPr>
        <w:pStyle w:val="Heading3"/>
      </w:pPr>
      <w:r>
        <w:t xml:space="preserve">2.2 Trend 2: The Self-Custody Movement</w:t>
      </w:r>
    </w:p>
    <w:p>
      <w:pPr>
        <w:pStyle w:val="FirstParagraph"/>
      </w:pPr>
      <w:r>
        <w:rPr>
          <w:bCs/>
          <w:b/>
        </w:rPr>
        <w:t xml:space="preserve">Description.</w:t>
      </w:r>
      <w:r>
        <w:t xml:space="preserve"> </w:t>
      </w:r>
      <w:r>
        <w:t xml:space="preserve">The post-FTX self-custody movement has matured into a structural, behavior-level shift in how European users hold Bitcoin. Fueled by high-profile exchange failures and the $1.46 billion Bybit hack in February 2025</w:t>
      </w:r>
      <w:r>
        <w:t xml:space="preserve"> </w:t>
      </w:r>
      <w:r>
        <w:rPr>
          <w:vertAlign w:val="superscript"/>
        </w:rPr>
        <w:footnoteReference w:id="48"/>
      </w:r>
      <w:r>
        <w:t xml:space="preserve">, both retail and institutional users are systematically migrating Bitcoin from exchanges to self-custody solutions. This trend directly benefits Bitcoin-only hardware wallets, multisig solutions, and open-source wallet software.</w:t>
      </w:r>
    </w:p>
    <w:p>
      <w:pPr>
        <w:pStyle w:val="BodyText"/>
      </w:pPr>
      <w:r>
        <w:rPr>
          <w:bCs/>
          <w:b/>
        </w:rPr>
        <w:t xml:space="preserve">Key Metrics.</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Record single-day BTC outflow (Mar 4, 2025)</w:t>
            </w:r>
          </w:p>
        </w:tc>
        <w:tc>
          <w:tcPr/>
          <w:p>
            <w:pPr>
              <w:pStyle w:val="Compact"/>
              <w:jc w:val="left"/>
            </w:pPr>
            <w:r>
              <w:t xml:space="preserve">28,195 BTC (~$1.8B)</w:t>
            </w:r>
            <w:r>
              <w:t xml:space="preserve"> </w:t>
            </w:r>
            <w:r>
              <w:rPr>
                <w:vertAlign w:val="superscript"/>
              </w:rPr>
              <w:footnoteReference w:id="49"/>
            </w:r>
          </w:p>
        </w:tc>
        <w:tc>
          <w:tcPr/>
          <w:p>
            <w:pPr>
              <w:pStyle w:val="Compact"/>
              <w:jc w:val="left"/>
            </w:pPr>
            <w:r>
              <w:t xml:space="preserve">MEXC News / CryptoQuant, 2026</w:t>
            </w:r>
          </w:p>
        </w:tc>
      </w:tr>
      <w:tr>
        <w:tc>
          <w:tcPr/>
          <w:p>
            <w:pPr>
              <w:pStyle w:val="Compact"/>
              <w:jc w:val="left"/>
            </w:pPr>
            <w:r>
              <w:t xml:space="preserve">Monthly outflows (Oct–Nov 2025)</w:t>
            </w:r>
          </w:p>
        </w:tc>
        <w:tc>
          <w:tcPr/>
          <w:p>
            <w:pPr>
              <w:pStyle w:val="Compact"/>
              <w:jc w:val="left"/>
            </w:pPr>
            <w:r>
              <w:t xml:space="preserve">100,000–120,000 BTC</w:t>
            </w:r>
            <w:r>
              <w:t xml:space="preserve"> </w:t>
            </w:r>
            <w:fldSimple w:instr="NOTEREF _Ref_Footnote_39 \h \f">
              <w:r>
                <w:rPr>
                  <w:vertAlign w:val="superscript"/>
                </w:rPr>
                <w:t>39</w:t>
              </w:r>
            </w:fldSimple>
          </w:p>
        </w:tc>
        <w:tc>
          <w:tcPr/>
          <w:p>
            <w:pPr>
              <w:pStyle w:val="Compact"/>
              <w:jc w:val="left"/>
            </w:pPr>
            <w:r>
              <w:t xml:space="preserve">AMBCrypto / Glassnode, 2025</w:t>
            </w:r>
          </w:p>
        </w:tc>
      </w:tr>
      <w:tr>
        <w:tc>
          <w:tcPr/>
          <w:p>
            <w:pPr>
              <w:pStyle w:val="Compact"/>
              <w:jc w:val="left"/>
            </w:pPr>
            <w:r>
              <w:t xml:space="preserve">Hardware wallet sales increase (2025)</w:t>
            </w:r>
          </w:p>
        </w:tc>
        <w:tc>
          <w:tcPr/>
          <w:p>
            <w:pPr>
              <w:pStyle w:val="Compact"/>
              <w:jc w:val="left"/>
            </w:pPr>
            <w:r>
              <w:t xml:space="preserve">+31% YoY</w:t>
            </w:r>
            <w:r>
              <w:t xml:space="preserve"> </w:t>
            </w:r>
            <w:fldSimple w:instr="NOTEREF _Ref_Footnote_35 \h \f">
              <w:r>
                <w:rPr>
                  <w:vertAlign w:val="superscript"/>
                </w:rPr>
                <w:t>35</w:t>
              </w:r>
            </w:fldSimple>
          </w:p>
        </w:tc>
        <w:tc>
          <w:tcPr/>
          <w:p>
            <w:pPr>
              <w:pStyle w:val="Compact"/>
              <w:jc w:val="left"/>
            </w:pPr>
            <w:r>
              <w:t xml:space="preserve">CoinLaw, 2026</w:t>
            </w:r>
          </w:p>
        </w:tc>
      </w:tr>
      <w:tr>
        <w:tc>
          <w:tcPr/>
          <w:p>
            <w:pPr>
              <w:pStyle w:val="Compact"/>
              <w:jc w:val="left"/>
            </w:pPr>
            <w:r>
              <w:t xml:space="preserve">Institutional cold wallet adoption</w:t>
            </w:r>
          </w:p>
        </w:tc>
        <w:tc>
          <w:tcPr/>
          <w:p>
            <w:pPr>
              <w:pStyle w:val="Compact"/>
              <w:jc w:val="left"/>
            </w:pPr>
            <w:r>
              <w:t xml:space="preserve">+51% YoY</w:t>
            </w:r>
            <w:r>
              <w:t xml:space="preserve"> </w:t>
            </w:r>
            <w:fldSimple w:instr="NOTEREF _Ref_Footnote_35 \h \f">
              <w:r>
                <w:rPr>
                  <w:vertAlign w:val="superscript"/>
                </w:rPr>
                <w:t>35</w:t>
              </w:r>
            </w:fldSimple>
          </w:p>
        </w:tc>
        <w:tc>
          <w:tcPr/>
          <w:p>
            <w:pPr>
              <w:pStyle w:val="Compact"/>
              <w:jc w:val="left"/>
            </w:pPr>
            <w:r>
              <w:t xml:space="preserve">CoinLaw, 2026</w:t>
            </w:r>
          </w:p>
        </w:tc>
      </w:tr>
      <w:tr>
        <w:tc>
          <w:tcPr/>
          <w:p>
            <w:pPr>
              <w:pStyle w:val="Compact"/>
              <w:jc w:val="left"/>
            </w:pPr>
            <w:r>
              <w:t xml:space="preserve">Cold wallet market (2024)</w:t>
            </w:r>
          </w:p>
        </w:tc>
        <w:tc>
          <w:tcPr/>
          <w:p>
            <w:pPr>
              <w:pStyle w:val="Compact"/>
              <w:jc w:val="left"/>
            </w:pPr>
            <w:r>
              <w:t xml:space="preserve">$3.5 billion</w:t>
            </w:r>
            <w:r>
              <w:t xml:space="preserve"> </w:t>
            </w:r>
            <w:fldSimple w:instr="NOTEREF _Ref_Footnote_3 \h \f">
              <w:r>
                <w:rPr>
                  <w:vertAlign w:val="superscript"/>
                </w:rPr>
                <w:t>3</w:t>
              </w:r>
            </w:fldSimple>
          </w:p>
        </w:tc>
        <w:tc>
          <w:tcPr/>
          <w:p>
            <w:pPr>
              <w:pStyle w:val="Compact"/>
              <w:jc w:val="left"/>
            </w:pPr>
            <w:r>
              <w:t xml:space="preserve">SQ Magazine, 2025</w:t>
            </w:r>
          </w:p>
        </w:tc>
      </w:tr>
      <w:tr>
        <w:tc>
          <w:tcPr/>
          <w:p>
            <w:pPr>
              <w:pStyle w:val="Compact"/>
              <w:jc w:val="left"/>
            </w:pPr>
            <w:r>
              <w:t xml:space="preserve">Cold wallet market projection (2033)</w:t>
            </w:r>
          </w:p>
        </w:tc>
        <w:tc>
          <w:tcPr/>
          <w:p>
            <w:pPr>
              <w:pStyle w:val="Compact"/>
              <w:jc w:val="left"/>
            </w:pPr>
            <w:r>
              <w:t xml:space="preserve">$12.2 billion at 15.2% CAGR</w:t>
            </w:r>
            <w:r>
              <w:t xml:space="preserve"> </w:t>
            </w:r>
            <w:fldSimple w:instr="NOTEREF _Ref_Footnote_3 \h \f">
              <w:r>
                <w:rPr>
                  <w:vertAlign w:val="superscript"/>
                </w:rPr>
                <w:t>3</w:t>
              </w:r>
            </w:fldSimple>
          </w:p>
        </w:tc>
        <w:tc>
          <w:tcPr/>
          <w:p>
            <w:pPr>
              <w:pStyle w:val="Compact"/>
              <w:jc w:val="left"/>
            </w:pPr>
            <w:r>
              <w:t xml:space="preserve">SQ Magazine, 2025</w:t>
            </w:r>
          </w:p>
        </w:tc>
      </w:tr>
    </w:tbl>
    <w:p>
      <w:pPr>
        <w:pStyle w:val="BodyText"/>
      </w:pPr>
      <w:r>
        <w:rPr>
          <w:bCs/>
          <w:b/>
        </w:rPr>
        <w:t xml:space="preserve">European-Specific Evidence.</w:t>
      </w:r>
    </w:p>
    <w:p>
      <w:pPr>
        <w:numPr>
          <w:ilvl w:val="0"/>
          <w:numId w:val="1014"/>
        </w:numPr>
        <w:pStyle w:val="Compact"/>
      </w:pPr>
      <w:r>
        <w:t xml:space="preserve">European firms Ledger (France) and Trezor (Czech Republic) dominate the global hardware wallet market with a combined 62% market share</w:t>
      </w:r>
      <w:r>
        <w:t xml:space="preserve"> </w:t>
      </w:r>
      <w:fldSimple w:instr="NOTEREF _Ref_Footnote_3 \h \f">
        <w:r>
          <w:rPr>
            <w:vertAlign w:val="superscript"/>
          </w:rPr>
          <w:t>3</w:t>
        </w:r>
      </w:fldSimple>
      <w:r>
        <w:t xml:space="preserve">. Ledger sold 3.5 million units globally in 2024; Trezor shipped 2.4 million devices</w:t>
      </w:r>
      <w:r>
        <w:t xml:space="preserve"> </w:t>
      </w:r>
      <w:fldSimple w:instr="NOTEREF _Ref_Footnote_27 \h \f">
        <w:r>
          <w:rPr>
            <w:vertAlign w:val="superscript"/>
          </w:rPr>
          <w:t>27</w:t>
        </w:r>
      </w:fldSimple>
      <w:r>
        <w:t xml:space="preserve">.</w:t>
      </w:r>
    </w:p>
    <w:p>
      <w:pPr>
        <w:numPr>
          <w:ilvl w:val="0"/>
          <w:numId w:val="1014"/>
        </w:numPr>
        <w:pStyle w:val="Compact"/>
      </w:pPr>
      <w:r>
        <w:t xml:space="preserve">Europe accounts for approximately 24% of the global non-custodial wallet market, with over 21% of European enterprises engaging in blockchain-based treasury initiatives using non-custodial wallets</w:t>
      </w:r>
      <w:r>
        <w:t xml:space="preserve"> </w:t>
      </w:r>
      <w:fldSimple w:instr="NOTEREF _Ref_Footnote_47 \h \f">
        <w:r>
          <w:rPr>
            <w:vertAlign w:val="superscript"/>
          </w:rPr>
          <w:t>47</w:t>
        </w:r>
      </w:fldSimple>
      <w:r>
        <w:t xml:space="preserve">.</w:t>
      </w:r>
    </w:p>
    <w:p>
      <w:pPr>
        <w:numPr>
          <w:ilvl w:val="0"/>
          <w:numId w:val="1014"/>
        </w:numPr>
        <w:pStyle w:val="Compact"/>
      </w:pPr>
      <w:r>
        <w:t xml:space="preserve">Switzerland has emerged as a self-custody hub, with Bitcoin Suisse managing over CHF 3 billion in crypto assets under custody while offering segregated, bankruptcy-remote vault solutions audited by PwC (ISAE 3402 Type 2)</w:t>
      </w:r>
      <w:r>
        <w:t xml:space="preserve"> </w:t>
      </w:r>
      <w:r>
        <w:rPr>
          <w:vertAlign w:val="superscript"/>
        </w:rPr>
        <w:footnoteReference w:id="50"/>
      </w:r>
      <w:r>
        <w:t xml:space="preserve">.</w:t>
      </w:r>
    </w:p>
    <w:p>
      <w:pPr>
        <w:numPr>
          <w:ilvl w:val="0"/>
          <w:numId w:val="1014"/>
        </w:numPr>
        <w:pStyle w:val="Compact"/>
      </w:pPr>
      <w:r>
        <w:t xml:space="preserve">The Bybit hack ($1.46 billion) triggered massive exchange outflows and accelerated migration to self-custody across the industry, with Bybit’s trading volume collapsing as liquidity providers reduced exposure</w:t>
      </w:r>
      <w:r>
        <w:t xml:space="preserve"> </w:t>
      </w:r>
      <w:fldSimple w:instr="NOTEREF _Ref_Footnote_48 \h \f">
        <w:r>
          <w:rPr>
            <w:vertAlign w:val="superscript"/>
          </w:rPr>
          <w:t>48</w:t>
        </w:r>
      </w:fldSimple>
      <w:r>
        <w:t xml:space="preserve">.</w:t>
      </w:r>
    </w:p>
    <w:p>
      <w:pPr>
        <w:pStyle w:val="FirstParagraph"/>
      </w:pPr>
      <w:r>
        <w:rPr>
          <w:bCs/>
          <w:b/>
        </w:rPr>
        <w:t xml:space="preserve">Forward Projection (2026–2028).</w:t>
      </w:r>
    </w:p>
    <w:tbl>
      <w:tblPr>
        <w:tblStyle w:val="Table"/>
        <w:tblW w:type="pct" w:w="5000"/>
        <w:tblLook w:firstRow="1" w:lastRow="0" w:firstColumn="0" w:lastColumn="0" w:noHBand="0" w:noVBand="0" w:val="0020"/>
      </w:tblPr>
      <w:tblGrid>
        <w:gridCol w:w="1742"/>
        <w:gridCol w:w="2217"/>
        <w:gridCol w:w="2692"/>
        <w:gridCol w:w="1267"/>
      </w:tblGrid>
      <w:tr>
        <w:trPr>
          <w:tblHeader w:val="true"/>
        </w:trPr>
        <w:tc>
          <w:tcPr/>
          <w:p>
            <w:pPr>
              <w:pStyle w:val="Compact"/>
              <w:jc w:val="left"/>
            </w:pPr>
            <w:r>
              <w:t xml:space="preserve">Indicator</w:t>
            </w:r>
          </w:p>
        </w:tc>
        <w:tc>
          <w:tcPr/>
          <w:p>
            <w:pPr>
              <w:pStyle w:val="Compact"/>
              <w:jc w:val="left"/>
            </w:pPr>
            <w:r>
              <w:t xml:space="preserve">2025 Baseline</w:t>
            </w:r>
          </w:p>
        </w:tc>
        <w:tc>
          <w:tcPr/>
          <w:p>
            <w:pPr>
              <w:pStyle w:val="Compact"/>
              <w:jc w:val="left"/>
            </w:pPr>
            <w:r>
              <w:t xml:space="preserve">2028 Projection</w:t>
            </w:r>
          </w:p>
        </w:tc>
        <w:tc>
          <w:tcPr/>
          <w:p>
            <w:pPr>
              <w:pStyle w:val="Compact"/>
              <w:jc w:val="left"/>
            </w:pPr>
            <w:r>
              <w:t xml:space="preserve">Driver</w:t>
            </w:r>
          </w:p>
        </w:tc>
      </w:tr>
      <w:tr>
        <w:tc>
          <w:tcPr/>
          <w:p>
            <w:pPr>
              <w:pStyle w:val="Compact"/>
              <w:jc w:val="left"/>
            </w:pPr>
            <w:r>
              <w:t xml:space="preserve">Hardware wallet market</w:t>
            </w:r>
          </w:p>
        </w:tc>
        <w:tc>
          <w:tcPr/>
          <w:p>
            <w:pPr>
              <w:pStyle w:val="Compact"/>
              <w:jc w:val="left"/>
            </w:pPr>
            <w:r>
              <w:t xml:space="preserve">$680 million</w:t>
            </w:r>
            <w:r>
              <w:t xml:space="preserve"> </w:t>
            </w:r>
            <w:fldSimple w:instr="NOTEREF _Ref_Footnote_10 \h \f">
              <w:r>
                <w:rPr>
                  <w:vertAlign w:val="superscript"/>
                </w:rPr>
                <w:t>10</w:t>
              </w:r>
            </w:fldSimple>
          </w:p>
        </w:tc>
        <w:tc>
          <w:tcPr/>
          <w:p>
            <w:pPr>
              <w:pStyle w:val="Compact"/>
              <w:jc w:val="left"/>
            </w:pPr>
            <w:r>
              <w:t xml:space="preserve">$4.77 billion by 2035</w:t>
            </w:r>
            <w:r>
              <w:t xml:space="preserve"> </w:t>
            </w:r>
            <w:fldSimple w:instr="NOTEREF _Ref_Footnote_10 \h \f">
              <w:r>
                <w:rPr>
                  <w:vertAlign w:val="superscript"/>
                </w:rPr>
                <w:t>10</w:t>
              </w:r>
            </w:fldSimple>
          </w:p>
        </w:tc>
        <w:tc>
          <w:tcPr/>
          <w:p>
            <w:pPr>
              <w:pStyle w:val="Compact"/>
              <w:jc w:val="left"/>
            </w:pPr>
            <w:r>
              <w:t xml:space="preserve">Institutional + retail migration</w:t>
            </w:r>
          </w:p>
        </w:tc>
      </w:tr>
      <w:tr>
        <w:tc>
          <w:tcPr/>
          <w:p>
            <w:pPr>
              <w:pStyle w:val="Compact"/>
              <w:jc w:val="left"/>
            </w:pPr>
            <w:r>
              <w:t xml:space="preserve">Multisig adoption</w:t>
            </w:r>
          </w:p>
        </w:tc>
        <w:tc>
          <w:tcPr/>
          <w:p>
            <w:pPr>
              <w:pStyle w:val="Compact"/>
              <w:jc w:val="left"/>
            </w:pPr>
            <w:r>
              <w:t xml:space="preserve">35% YoY growth</w:t>
            </w:r>
            <w:r>
              <w:t xml:space="preserve"> </w:t>
            </w:r>
            <w:fldSimple w:instr="NOTEREF _Ref_Footnote_35 \h \f">
              <w:r>
                <w:rPr>
                  <w:vertAlign w:val="superscript"/>
                </w:rPr>
                <w:t>35</w:t>
              </w:r>
            </w:fldSimple>
          </w:p>
        </w:tc>
        <w:tc>
          <w:tcPr/>
          <w:p>
            <w:pPr>
              <w:pStyle w:val="Compact"/>
              <w:jc w:val="left"/>
            </w:pPr>
            <w:r>
              <w:t xml:space="preserve">Standard for &gt;$50K holdings</w:t>
            </w:r>
          </w:p>
        </w:tc>
        <w:tc>
          <w:tcPr/>
          <w:p>
            <w:pPr>
              <w:pStyle w:val="Compact"/>
              <w:jc w:val="left"/>
            </w:pPr>
            <w:r>
              <w:t xml:space="preserve">Security awareness post-hacks</w:t>
            </w:r>
          </w:p>
        </w:tc>
      </w:tr>
      <w:tr>
        <w:tc>
          <w:tcPr/>
          <w:p>
            <w:pPr>
              <w:pStyle w:val="Compact"/>
              <w:jc w:val="left"/>
            </w:pPr>
            <w:r>
              <w:t xml:space="preserve">Institutional multisig deployments</w:t>
            </w:r>
          </w:p>
        </w:tc>
        <w:tc>
          <w:tcPr/>
          <w:p>
            <w:pPr>
              <w:pStyle w:val="Compact"/>
              <w:jc w:val="left"/>
            </w:pPr>
            <w:r>
              <w:t xml:space="preserve">9 million (2025)</w:t>
            </w:r>
            <w:r>
              <w:t xml:space="preserve"> </w:t>
            </w:r>
            <w:fldSimple w:instr="NOTEREF _Ref_Footnote_35 \h \f">
              <w:r>
                <w:rPr>
                  <w:vertAlign w:val="superscript"/>
                </w:rPr>
                <w:t>35</w:t>
              </w:r>
            </w:fldSimple>
          </w:p>
        </w:tc>
        <w:tc>
          <w:tcPr/>
          <w:p>
            <w:pPr>
              <w:pStyle w:val="Compact"/>
              <w:jc w:val="left"/>
            </w:pPr>
            <w:r>
              <w:t xml:space="preserve">20+ million</w:t>
            </w:r>
          </w:p>
        </w:tc>
        <w:tc>
          <w:tcPr/>
          <w:p>
            <w:pPr>
              <w:pStyle w:val="Compact"/>
              <w:jc w:val="left"/>
            </w:pPr>
            <w:r>
              <w:t xml:space="preserve">Enterprise treasury adoption</w:t>
            </w:r>
          </w:p>
        </w:tc>
      </w:tr>
    </w:tbl>
    <w:p>
      <w:pPr>
        <w:numPr>
          <w:ilvl w:val="0"/>
          <w:numId w:val="1015"/>
        </w:numPr>
        <w:pStyle w:val="Compact"/>
      </w:pPr>
      <w:r>
        <w:t xml:space="preserve">Self-custody is projected to become the default standard for Bitcoin holdings above threshold amounts, with custodial services reserved for trading and derivatives.</w:t>
      </w:r>
    </w:p>
    <w:p>
      <w:pPr>
        <w:numPr>
          <w:ilvl w:val="0"/>
          <w:numId w:val="1015"/>
        </w:numPr>
        <w:pStyle w:val="Compact"/>
      </w:pPr>
      <w:r>
        <w:t xml:space="preserve">Threshold-signature schemes (2-of-3 multisig) adoption is up 35% YoY among hardware wallet vendors, reflecting demand for institutional-grade self-custody</w:t>
      </w:r>
      <w:r>
        <w:t xml:space="preserve"> </w:t>
      </w:r>
      <w:fldSimple w:instr="NOTEREF _Ref_Footnote_35 \h \f">
        <w:r>
          <w:rPr>
            <w:vertAlign w:val="superscript"/>
          </w:rPr>
          <w:t>35</w:t>
        </w:r>
      </w:fldSimple>
      <w:r>
        <w:t xml:space="preserve">.</w:t>
      </w:r>
    </w:p>
    <w:p>
      <w:r>
        <w:pict>
          <v:rect style="width:0;height:1.5pt" o:hralign="center" o:hrstd="t" o:hr="t"/>
        </w:pict>
      </w:r>
    </w:p>
    <w:bookmarkEnd w:id="41"/>
    <w:bookmarkStart w:id="42" w:name="Xd324c9039026539ef4bbf863af3639eacbc0599"/>
    <w:p>
      <w:pPr>
        <w:pStyle w:val="Heading3"/>
      </w:pPr>
      <w:r>
        <w:t xml:space="preserve">2.3 Trend 3: Lightning Network Payment Infrastructure</w:t>
      </w:r>
    </w:p>
    <w:p>
      <w:pPr>
        <w:pStyle w:val="FirstParagraph"/>
      </w:pPr>
      <w:r>
        <w:rPr>
          <w:bCs/>
          <w:b/>
        </w:rPr>
        <w:t xml:space="preserve">Description.</w:t>
      </w:r>
      <w:r>
        <w:t xml:space="preserve"> </w:t>
      </w:r>
      <w:r>
        <w:t xml:space="preserve">The Lightning Network has transitioned from an experimental Layer-2 protocol to production-grade payment infrastructure in Europe. Public capacity surpassed 5,600 BTC (~$490 million) in December 2025</w:t>
      </w:r>
      <w:r>
        <w:t xml:space="preserve"> </w:t>
      </w:r>
      <w:r>
        <w:rPr>
          <w:vertAlign w:val="superscript"/>
        </w:rPr>
        <w:footnoteReference w:id="51"/>
      </w:r>
      <w:r>
        <w:t xml:space="preserve">, while exchange integrations drove 266% YoY volume growth</w:t>
      </w:r>
      <w:r>
        <w:t xml:space="preserve"> </w:t>
      </w:r>
      <w:fldSimple w:instr="NOTEREF _Ref_Footnote_7 \h \f">
        <w:r>
          <w:rPr>
            <w:vertAlign w:val="superscript"/>
          </w:rPr>
          <w:t>7</w:t>
        </w:r>
      </w:fldSimple>
      <w:r>
        <w:t xml:space="preserve">. Fintech apps including Revolut and Strike are rolling out Lightning payments across Europe, bringing instant, low-cost Bitcoin transactions to tens of millions of users.</w:t>
      </w:r>
    </w:p>
    <w:p>
      <w:pPr>
        <w:pStyle w:val="BodyText"/>
      </w:pPr>
      <w:r>
        <w:rPr>
          <w:bCs/>
          <w:b/>
        </w:rPr>
        <w:t xml:space="preserve">Key Metrics.</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Lightning public capacity (Dec 2025)</w:t>
            </w:r>
          </w:p>
        </w:tc>
        <w:tc>
          <w:tcPr/>
          <w:p>
            <w:pPr>
              <w:pStyle w:val="Compact"/>
              <w:jc w:val="left"/>
            </w:pPr>
            <w:r>
              <w:t xml:space="preserve">5,637 BTC (~$490M) ATH</w:t>
            </w:r>
            <w:r>
              <w:t xml:space="preserve"> </w:t>
            </w:r>
            <w:fldSimple w:instr="NOTEREF _Ref_Footnote_51 \h \f">
              <w:r>
                <w:rPr>
                  <w:vertAlign w:val="superscript"/>
                </w:rPr>
                <w:t>51</w:t>
              </w:r>
            </w:fldSimple>
          </w:p>
        </w:tc>
        <w:tc>
          <w:tcPr/>
          <w:p>
            <w:pPr>
              <w:pStyle w:val="Compact"/>
              <w:jc w:val="left"/>
            </w:pPr>
            <w:r>
              <w:t xml:space="preserve">Spark Money, 2025</w:t>
            </w:r>
          </w:p>
        </w:tc>
      </w:tr>
      <w:tr>
        <w:tc>
          <w:tcPr/>
          <w:p>
            <w:pPr>
              <w:pStyle w:val="Compact"/>
              <w:jc w:val="left"/>
            </w:pPr>
            <w:r>
              <w:t xml:space="preserve">Monthly payment volume (Nov 2025)</w:t>
            </w:r>
          </w:p>
        </w:tc>
        <w:tc>
          <w:tcPr/>
          <w:p>
            <w:pPr>
              <w:pStyle w:val="Compact"/>
              <w:jc w:val="left"/>
            </w:pPr>
            <w:r>
              <w:t xml:space="preserve">$1.17 billion across 5.22M transactions</w:t>
            </w:r>
            <w:r>
              <w:t xml:space="preserve"> </w:t>
            </w:r>
            <w:fldSimple w:instr="NOTEREF _Ref_Footnote_51 \h \f">
              <w:r>
                <w:rPr>
                  <w:vertAlign w:val="superscript"/>
                </w:rPr>
                <w:t>51</w:t>
              </w:r>
            </w:fldSimple>
          </w:p>
        </w:tc>
        <w:tc>
          <w:tcPr/>
          <w:p>
            <w:pPr>
              <w:pStyle w:val="Compact"/>
              <w:jc w:val="left"/>
            </w:pPr>
            <w:r>
              <w:t xml:space="preserve">Spark Money / River Financial, 2025</w:t>
            </w:r>
          </w:p>
        </w:tc>
      </w:tr>
      <w:tr>
        <w:tc>
          <w:tcPr/>
          <w:p>
            <w:pPr>
              <w:pStyle w:val="Compact"/>
              <w:jc w:val="left"/>
            </w:pPr>
            <w:r>
              <w:t xml:space="preserve">Public Lightning volume growth</w:t>
            </w:r>
          </w:p>
        </w:tc>
        <w:tc>
          <w:tcPr/>
          <w:p>
            <w:pPr>
              <w:pStyle w:val="Compact"/>
              <w:jc w:val="left"/>
            </w:pPr>
            <w:r>
              <w:t xml:space="preserve">266% YoY (2025)</w:t>
            </w:r>
            <w:r>
              <w:t xml:space="preserve"> </w:t>
            </w:r>
            <w:fldSimple w:instr="NOTEREF _Ref_Footnote_7 \h \f">
              <w:r>
                <w:rPr>
                  <w:vertAlign w:val="superscript"/>
                </w:rPr>
                <w:t>7</w:t>
              </w:r>
            </w:fldSimple>
          </w:p>
        </w:tc>
        <w:tc>
          <w:tcPr/>
          <w:p>
            <w:pPr>
              <w:pStyle w:val="Compact"/>
              <w:jc w:val="left"/>
            </w:pPr>
            <w:r>
              <w:t xml:space="preserve">CoinLaw, 2026</w:t>
            </w:r>
          </w:p>
        </w:tc>
      </w:tr>
      <w:tr>
        <w:tc>
          <w:tcPr/>
          <w:p>
            <w:pPr>
              <w:pStyle w:val="Compact"/>
              <w:jc w:val="left"/>
            </w:pPr>
            <w:r>
              <w:t xml:space="preserve">Lightning share of BTC payments (Q2 2024)</w:t>
            </w:r>
          </w:p>
        </w:tc>
        <w:tc>
          <w:tcPr/>
          <w:p>
            <w:pPr>
              <w:pStyle w:val="Compact"/>
              <w:jc w:val="left"/>
            </w:pPr>
            <w:r>
              <w:t xml:space="preserve">16.6% (up from 6.5% in Q2 2022)</w:t>
            </w:r>
            <w:r>
              <w:t xml:space="preserve"> </w:t>
            </w:r>
            <w:r>
              <w:rPr>
                <w:vertAlign w:val="superscript"/>
              </w:rPr>
              <w:footnoteReference w:id="52"/>
            </w:r>
          </w:p>
        </w:tc>
        <w:tc>
          <w:tcPr/>
          <w:p>
            <w:pPr>
              <w:pStyle w:val="Compact"/>
              <w:jc w:val="left"/>
            </w:pPr>
            <w:r>
              <w:t xml:space="preserve">CoinGate, 2024</w:t>
            </w:r>
          </w:p>
        </w:tc>
      </w:tr>
      <w:tr>
        <w:tc>
          <w:tcPr/>
          <w:p>
            <w:pPr>
              <w:pStyle w:val="Compact"/>
              <w:jc w:val="left"/>
            </w:pPr>
            <w:r>
              <w:t xml:space="preserve">Transaction completion time</w:t>
            </w:r>
          </w:p>
        </w:tc>
        <w:tc>
          <w:tcPr/>
          <w:p>
            <w:pPr>
              <w:pStyle w:val="Compact"/>
              <w:jc w:val="left"/>
            </w:pPr>
            <w:r>
              <w:t xml:space="preserve">&lt;0.5 seconds</w:t>
            </w:r>
            <w:r>
              <w:t xml:space="preserve"> </w:t>
            </w:r>
            <w:r>
              <w:rPr>
                <w:vertAlign w:val="superscript"/>
              </w:rPr>
              <w:footnoteReference w:id="53"/>
            </w:r>
          </w:p>
        </w:tc>
        <w:tc>
          <w:tcPr/>
          <w:p>
            <w:pPr>
              <w:pStyle w:val="Compact"/>
              <w:jc w:val="left"/>
            </w:pPr>
            <w:r>
              <w:t xml:space="preserve">Fidelity Digital Assets, 2025</w:t>
            </w:r>
          </w:p>
        </w:tc>
      </w:tr>
      <w:tr>
        <w:tc>
          <w:tcPr/>
          <w:p>
            <w:pPr>
              <w:pStyle w:val="Compact"/>
              <w:jc w:val="left"/>
            </w:pPr>
            <w:r>
              <w:t xml:space="preserve">Transaction fees (optimized)</w:t>
            </w:r>
          </w:p>
        </w:tc>
        <w:tc>
          <w:tcPr/>
          <w:p>
            <w:pPr>
              <w:pStyle w:val="Compact"/>
              <w:jc w:val="left"/>
            </w:pPr>
            <w:r>
              <w:t xml:space="preserve">As low as 0%</w:t>
            </w:r>
            <w:r>
              <w:t xml:space="preserve"> </w:t>
            </w:r>
            <w:fldSimple w:instr="NOTEREF _Ref_Footnote_53 \h \f">
              <w:r>
                <w:rPr>
                  <w:vertAlign w:val="superscript"/>
                </w:rPr>
                <w:t>53</w:t>
              </w:r>
            </w:fldSimple>
          </w:p>
        </w:tc>
        <w:tc>
          <w:tcPr/>
          <w:p>
            <w:pPr>
              <w:pStyle w:val="Compact"/>
              <w:jc w:val="left"/>
            </w:pPr>
            <w:r>
              <w:t xml:space="preserve">Fidelity Digital Assets, 2025</w:t>
            </w:r>
          </w:p>
        </w:tc>
      </w:tr>
    </w:tbl>
    <w:p>
      <w:pPr>
        <w:pStyle w:val="BodyText"/>
      </w:pPr>
      <w:r>
        <w:rPr>
          <w:bCs/>
          <w:b/>
        </w:rPr>
        <w:t xml:space="preserve">European-Specific Evidence.</w:t>
      </w:r>
    </w:p>
    <w:p>
      <w:pPr>
        <w:numPr>
          <w:ilvl w:val="0"/>
          <w:numId w:val="1016"/>
        </w:numPr>
        <w:pStyle w:val="Compact"/>
      </w:pPr>
      <w:r>
        <w:t xml:space="preserve">Germany holds 13.4% of all Lightning nodes globally (second after the US at 30.6%), with France at 4.7%, the Netherlands at 3.3%, Switzerland at 2.4%, and Italy at 2.1%</w:t>
      </w:r>
      <w:r>
        <w:t xml:space="preserve"> </w:t>
      </w:r>
      <w:fldSimple w:instr="NOTEREF _Ref_Footnote_51 \h \f">
        <w:r>
          <w:rPr>
            <w:vertAlign w:val="superscript"/>
          </w:rPr>
          <w:t>51</w:t>
        </w:r>
      </w:fldSimple>
      <w:r>
        <w:t xml:space="preserve"> </w:t>
      </w:r>
      <w:r>
        <w:rPr>
          <w:vertAlign w:val="superscript"/>
        </w:rPr>
        <w:footnoteReference w:id="54"/>
      </w:r>
      <w:r>
        <w:t xml:space="preserve">. European countries fill 5 of the top 10 positions globally.</w:t>
      </w:r>
    </w:p>
    <w:p>
      <w:pPr>
        <w:numPr>
          <w:ilvl w:val="0"/>
          <w:numId w:val="1016"/>
        </w:numPr>
        <w:pStyle w:val="Compact"/>
      </w:pPr>
      <w:r>
        <w:t xml:space="preserve">ACINQ (France) operates the largest single node on the network (~446 BTC across ~2,245 channels) and develops the Phoenix wallet and Eclair implementation</w:t>
      </w:r>
      <w:r>
        <w:t xml:space="preserve"> </w:t>
      </w:r>
      <w:fldSimple w:instr="NOTEREF _Ref_Footnote_51 \h \f">
        <w:r>
          <w:rPr>
            <w:vertAlign w:val="superscript"/>
          </w:rPr>
          <w:t>51</w:t>
        </w:r>
      </w:fldSimple>
      <w:r>
        <w:t xml:space="preserve">.</w:t>
      </w:r>
    </w:p>
    <w:p>
      <w:pPr>
        <w:numPr>
          <w:ilvl w:val="0"/>
          <w:numId w:val="1016"/>
        </w:numPr>
        <w:pStyle w:val="Compact"/>
      </w:pPr>
      <w:r>
        <w:t xml:space="preserve">Revolut, Europe’s largest digital bank with 35+ million users, partnered with Lightspark in May 2025 to roll out Bitcoin Lightning payments for UK and EEA customers</w:t>
      </w:r>
      <w:r>
        <w:t xml:space="preserve"> </w:t>
      </w:r>
      <w:r>
        <w:rPr>
          <w:vertAlign w:val="superscript"/>
        </w:rPr>
        <w:footnoteReference w:id="55"/>
      </w:r>
      <w:r>
        <w:t xml:space="preserve">.</w:t>
      </w:r>
    </w:p>
    <w:p>
      <w:pPr>
        <w:numPr>
          <w:ilvl w:val="0"/>
          <w:numId w:val="1016"/>
        </w:numPr>
        <w:pStyle w:val="Compact"/>
      </w:pPr>
      <w:r>
        <w:t xml:space="preserve">Strike expanded to Europe in April 2024, offering SEPA-integrated Bitcoin purchases, Lightning payments, and global remittances to 100+ countries</w:t>
      </w:r>
      <w:r>
        <w:t xml:space="preserve"> </w:t>
      </w:r>
      <w:r>
        <w:rPr>
          <w:vertAlign w:val="superscript"/>
        </w:rPr>
        <w:footnoteReference w:id="56"/>
      </w:r>
      <w:r>
        <w:t xml:space="preserve">.</w:t>
      </w:r>
    </w:p>
    <w:p>
      <w:pPr>
        <w:numPr>
          <w:ilvl w:val="0"/>
          <w:numId w:val="1016"/>
        </w:numPr>
        <w:pStyle w:val="Compact"/>
      </w:pPr>
      <w:r>
        <w:t xml:space="preserve">At BTCPrague 2025, 25+ merchants processed 7,079 Lightning transactions generating 0.5885 BTC (~EUR 53,000) in revenue, with 100% of surveyed merchants willing to accept Bitcoin again</w:t>
      </w:r>
      <w:r>
        <w:t xml:space="preserve"> </w:t>
      </w:r>
      <w:fldSimple w:instr="NOTEREF _Ref_Footnote_7 \h \f">
        <w:r>
          <w:rPr>
            <w:vertAlign w:val="superscript"/>
          </w:rPr>
          <w:t>7</w:t>
        </w:r>
      </w:fldSimple>
      <w:r>
        <w:t xml:space="preserve">.</w:t>
      </w:r>
    </w:p>
    <w:p>
      <w:pPr>
        <w:pStyle w:val="FirstParagraph"/>
      </w:pPr>
      <w:r>
        <w:rPr>
          <w:bCs/>
          <w:b/>
        </w:rPr>
        <w:t xml:space="preserve">Forward Projection (2026–2028).</w:t>
      </w:r>
    </w:p>
    <w:tbl>
      <w:tblPr>
        <w:tblStyle w:val="Table"/>
        <w:tblW w:type="pct" w:w="5000"/>
        <w:tblLook w:firstRow="1" w:lastRow="0" w:firstColumn="0" w:lastColumn="0" w:noHBand="0" w:noVBand="0" w:val="0020"/>
      </w:tblPr>
      <w:tblGrid>
        <w:gridCol w:w="1742"/>
        <w:gridCol w:w="2217"/>
        <w:gridCol w:w="2692"/>
        <w:gridCol w:w="1267"/>
      </w:tblGrid>
      <w:tr>
        <w:trPr>
          <w:tblHeader w:val="true"/>
        </w:trPr>
        <w:tc>
          <w:tcPr/>
          <w:p>
            <w:pPr>
              <w:pStyle w:val="Compact"/>
              <w:jc w:val="left"/>
            </w:pPr>
            <w:r>
              <w:t xml:space="preserve">Indicator</w:t>
            </w:r>
          </w:p>
        </w:tc>
        <w:tc>
          <w:tcPr/>
          <w:p>
            <w:pPr>
              <w:pStyle w:val="Compact"/>
              <w:jc w:val="left"/>
            </w:pPr>
            <w:r>
              <w:t xml:space="preserve">2025 Baseline</w:t>
            </w:r>
          </w:p>
        </w:tc>
        <w:tc>
          <w:tcPr/>
          <w:p>
            <w:pPr>
              <w:pStyle w:val="Compact"/>
              <w:jc w:val="left"/>
            </w:pPr>
            <w:r>
              <w:t xml:space="preserve">2028 Projection</w:t>
            </w:r>
          </w:p>
        </w:tc>
        <w:tc>
          <w:tcPr/>
          <w:p>
            <w:pPr>
              <w:pStyle w:val="Compact"/>
              <w:jc w:val="left"/>
            </w:pPr>
            <w:r>
              <w:t xml:space="preserve">Driver</w:t>
            </w:r>
          </w:p>
        </w:tc>
      </w:tr>
      <w:tr>
        <w:tc>
          <w:tcPr/>
          <w:p>
            <w:pPr>
              <w:pStyle w:val="Compact"/>
              <w:jc w:val="left"/>
            </w:pPr>
            <w:r>
              <w:t xml:space="preserve">Annual Lightning payment volume</w:t>
            </w:r>
          </w:p>
        </w:tc>
        <w:tc>
          <w:tcPr/>
          <w:p>
            <w:pPr>
              <w:pStyle w:val="Compact"/>
              <w:jc w:val="left"/>
            </w:pPr>
            <w:r>
              <w:t xml:space="preserve">~$14 billion</w:t>
            </w:r>
          </w:p>
        </w:tc>
        <w:tc>
          <w:tcPr/>
          <w:p>
            <w:pPr>
              <w:pStyle w:val="Compact"/>
              <w:jc w:val="left"/>
            </w:pPr>
            <w:r>
              <w:t xml:space="preserve">$50+ billion</w:t>
            </w:r>
          </w:p>
        </w:tc>
        <w:tc>
          <w:tcPr/>
          <w:p>
            <w:pPr>
              <w:pStyle w:val="Compact"/>
              <w:jc w:val="left"/>
            </w:pPr>
            <w:r>
              <w:t xml:space="preserve">Revolut rollout + merchant adoption</w:t>
            </w:r>
          </w:p>
        </w:tc>
      </w:tr>
      <w:tr>
        <w:tc>
          <w:tcPr/>
          <w:p>
            <w:pPr>
              <w:pStyle w:val="Compact"/>
              <w:jc w:val="left"/>
            </w:pPr>
            <w:r>
              <w:t xml:space="preserve">Lightning share of BTC payments</w:t>
            </w:r>
          </w:p>
        </w:tc>
        <w:tc>
          <w:tcPr/>
          <w:p>
            <w:pPr>
              <w:pStyle w:val="Compact"/>
              <w:jc w:val="left"/>
            </w:pPr>
            <w:r>
              <w:t xml:space="preserve">16.6%</w:t>
            </w:r>
            <w:r>
              <w:t xml:space="preserve"> </w:t>
            </w:r>
            <w:fldSimple w:instr="NOTEREF _Ref_Footnote_52 \h \f">
              <w:r>
                <w:rPr>
                  <w:vertAlign w:val="superscript"/>
                </w:rPr>
                <w:t>52</w:t>
              </w:r>
            </w:fldSimple>
          </w:p>
        </w:tc>
        <w:tc>
          <w:tcPr/>
          <w:p>
            <w:pPr>
              <w:pStyle w:val="Compact"/>
              <w:jc w:val="left"/>
            </w:pPr>
            <w:r>
              <w:t xml:space="preserve">35–50%</w:t>
            </w:r>
          </w:p>
        </w:tc>
        <w:tc>
          <w:tcPr/>
          <w:p>
            <w:pPr>
              <w:pStyle w:val="Compact"/>
              <w:jc w:val="left"/>
            </w:pPr>
            <w:r>
              <w:t xml:space="preserve">Enterprise + consumer adoption</w:t>
            </w:r>
          </w:p>
        </w:tc>
      </w:tr>
      <w:tr>
        <w:tc>
          <w:tcPr/>
          <w:p>
            <w:pPr>
              <w:pStyle w:val="Compact"/>
              <w:jc w:val="left"/>
            </w:pPr>
            <w:r>
              <w:t xml:space="preserve">European node infrastructure</w:t>
            </w:r>
          </w:p>
        </w:tc>
        <w:tc>
          <w:tcPr/>
          <w:p>
            <w:pPr>
              <w:pStyle w:val="Compact"/>
              <w:jc w:val="left"/>
            </w:pPr>
            <w:r>
              <w:t xml:space="preserve">~27% global share</w:t>
            </w:r>
          </w:p>
        </w:tc>
        <w:tc>
          <w:tcPr/>
          <w:p>
            <w:pPr>
              <w:pStyle w:val="Compact"/>
              <w:jc w:val="left"/>
            </w:pPr>
            <w:r>
              <w:t xml:space="preserve">30%+</w:t>
            </w:r>
          </w:p>
        </w:tc>
        <w:tc>
          <w:tcPr/>
          <w:p>
            <w:pPr>
              <w:pStyle w:val="Compact"/>
              <w:jc w:val="left"/>
            </w:pPr>
            <w:r>
              <w:t xml:space="preserve">Continued German/Swiss growth</w:t>
            </w:r>
          </w:p>
        </w:tc>
      </w:tr>
    </w:tbl>
    <w:p>
      <w:pPr>
        <w:numPr>
          <w:ilvl w:val="0"/>
          <w:numId w:val="1017"/>
        </w:numPr>
        <w:pStyle w:val="Compact"/>
      </w:pPr>
      <w:r>
        <w:t xml:space="preserve">Taproot Assets v0.7 (December 2025) and Tether’s launch on Lightning (March 2026) will enable stablecoin payments over Lightning channels, further driving merchant adoption</w:t>
      </w:r>
      <w:r>
        <w:t xml:space="preserve"> </w:t>
      </w:r>
      <w:fldSimple w:instr="NOTEREF _Ref_Footnote_51 \h \f">
        <w:r>
          <w:rPr>
            <w:vertAlign w:val="superscript"/>
          </w:rPr>
          <w:t>51</w:t>
        </w:r>
      </w:fldSimple>
      <w:r>
        <w:t xml:space="preserve">.</w:t>
      </w:r>
    </w:p>
    <w:p>
      <w:pPr>
        <w:numPr>
          <w:ilvl w:val="0"/>
          <w:numId w:val="1017"/>
        </w:numPr>
        <w:pStyle w:val="Compact"/>
      </w:pPr>
      <w:r>
        <w:t xml:space="preserve">Lightning-as-a-Service (LaaS) platforms are projected to abstract complexity for merchants and consumers, with Europe positioned to become the world’s leading Lightning payments market due to high node concentration, regulatory clarity, and integrated fintech infrastructure.</w:t>
      </w:r>
    </w:p>
    <w:p>
      <w:r>
        <w:pict>
          <v:rect style="width:0;height:1.5pt" o:hralign="center" o:hrstd="t" o:hr="t"/>
        </w:pict>
      </w:r>
    </w:p>
    <w:bookmarkEnd w:id="42"/>
    <w:bookmarkStart w:id="43" w:name="X530308eff964f5d248afb7e733c81d60249ba37"/>
    <w:p>
      <w:pPr>
        <w:pStyle w:val="Heading3"/>
      </w:pPr>
      <w:r>
        <w:t xml:space="preserve">2.4 Trend 4: Institutional Bitcoin-Only Products</w:t>
      </w:r>
    </w:p>
    <w:p>
      <w:pPr>
        <w:pStyle w:val="FirstParagraph"/>
      </w:pPr>
      <w:r>
        <w:rPr>
          <w:bCs/>
          <w:b/>
        </w:rPr>
        <w:t xml:space="preserve">Description.</w:t>
      </w:r>
      <w:r>
        <w:t xml:space="preserve"> </w:t>
      </w:r>
      <w:r>
        <w:t xml:space="preserve">Institutional adoption of Bitcoin in Europe has accelerated, with traditional financial institutions launching regulated Bitcoin trading, custody, and investment products. Unlike the US, where ETF-driven retail speculation dominates, European institutional adoption is characterized by cautious, long-term allocation from banks, pension funds, and family offices. This trend creates demand for Bitcoin-only custody, brokerage, and treasury management services.</w:t>
      </w:r>
    </w:p>
    <w:p>
      <w:pPr>
        <w:pStyle w:val="BodyText"/>
      </w:pPr>
      <w:r>
        <w:rPr>
          <w:bCs/>
          <w:b/>
        </w:rPr>
        <w:t xml:space="preserve">Key Metrics.</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Bitcoin market share in Europe</w:t>
            </w:r>
          </w:p>
        </w:tc>
        <w:tc>
          <w:tcPr/>
          <w:p>
            <w:pPr>
              <w:pStyle w:val="Compact"/>
              <w:jc w:val="left"/>
            </w:pPr>
            <w:r>
              <w:t xml:space="preserve">38.04% of total crypto market</w:t>
            </w:r>
            <w:r>
              <w:t xml:space="preserve"> </w:t>
            </w:r>
            <w:fldSimple w:instr="NOTEREF _Ref_Footnote_1 \h \f">
              <w:r>
                <w:rPr>
                  <w:vertAlign w:val="superscript"/>
                </w:rPr>
                <w:t>1</w:t>
              </w:r>
            </w:fldSimple>
            <w:r>
              <w:t xml:space="preserve"> </w:t>
            </w:r>
            <w:r>
              <w:rPr>
                <w:vertAlign w:val="superscript"/>
              </w:rPr>
              <w:footnoteReference w:id="57"/>
            </w:r>
          </w:p>
        </w:tc>
        <w:tc>
          <w:tcPr/>
          <w:p>
            <w:pPr>
              <w:pStyle w:val="Compact"/>
              <w:jc w:val="left"/>
            </w:pPr>
            <w:r>
              <w:t xml:space="preserve">IMARC Group; Market Data Forecast, 2025</w:t>
            </w:r>
          </w:p>
        </w:tc>
      </w:tr>
      <w:tr>
        <w:tc>
          <w:tcPr/>
          <w:p>
            <w:pPr>
              <w:pStyle w:val="Compact"/>
              <w:jc w:val="left"/>
            </w:pPr>
            <w:r>
              <w:t xml:space="preserve">UK pension fund BTC allocation (first in EU)</w:t>
            </w:r>
          </w:p>
        </w:tc>
        <w:tc>
          <w:tcPr/>
          <w:p>
            <w:pPr>
              <w:pStyle w:val="Compact"/>
              <w:jc w:val="left"/>
            </w:pPr>
            <w:r>
              <w:t xml:space="preserve">3% of assets (~£50M); +76% return in 12 months</w:t>
            </w:r>
            <w:r>
              <w:t xml:space="preserve"> </w:t>
            </w:r>
            <w:r>
              <w:rPr>
                <w:vertAlign w:val="superscript"/>
              </w:rPr>
              <w:footnoteReference w:id="58"/>
            </w:r>
            <w:r>
              <w:t xml:space="preserve"> </w:t>
            </w:r>
            <w:r>
              <w:rPr>
                <w:vertAlign w:val="superscript"/>
              </w:rPr>
              <w:footnoteReference w:id="59"/>
            </w:r>
          </w:p>
        </w:tc>
        <w:tc>
          <w:tcPr/>
          <w:p>
            <w:pPr>
              <w:pStyle w:val="Compact"/>
              <w:jc w:val="left"/>
            </w:pPr>
            <w:r>
              <w:t xml:space="preserve">IPE; Zodia Markets, 2025</w:t>
            </w:r>
          </w:p>
        </w:tc>
      </w:tr>
      <w:tr>
        <w:tc>
          <w:tcPr/>
          <w:p>
            <w:pPr>
              <w:pStyle w:val="Compact"/>
              <w:jc w:val="left"/>
            </w:pPr>
            <w:r>
              <w:t xml:space="preserve">European crypto ETP AUM (fund-of-fund)</w:t>
            </w:r>
          </w:p>
        </w:tc>
        <w:tc>
          <w:tcPr/>
          <w:p>
            <w:pPr>
              <w:pStyle w:val="Compact"/>
              <w:jc w:val="left"/>
            </w:pPr>
            <w:r>
              <w:t xml:space="preserve">Tripled from EUR 45M to EUR 138M (Q1 2023–Q1 2025)</w:t>
            </w:r>
            <w:r>
              <w:t xml:space="preserve"> </w:t>
            </w:r>
            <w:fldSimple w:instr="NOTEREF _Ref_Footnote_40 \h \f">
              <w:r>
                <w:rPr>
                  <w:vertAlign w:val="superscript"/>
                </w:rPr>
                <w:t>40</w:t>
              </w:r>
            </w:fldSimple>
          </w:p>
        </w:tc>
        <w:tc>
          <w:tcPr/>
          <w:p>
            <w:pPr>
              <w:pStyle w:val="Compact"/>
              <w:jc w:val="left"/>
            </w:pPr>
            <w:r>
              <w:t xml:space="preserve">ETF Stream, 2025</w:t>
            </w:r>
          </w:p>
        </w:tc>
      </w:tr>
      <w:tr>
        <w:tc>
          <w:tcPr/>
          <w:p>
            <w:pPr>
              <w:pStyle w:val="Compact"/>
              <w:jc w:val="left"/>
            </w:pPr>
            <w:r>
              <w:t xml:space="preserve">German share of European ETP assets</w:t>
            </w:r>
          </w:p>
        </w:tc>
        <w:tc>
          <w:tcPr/>
          <w:p>
            <w:pPr>
              <w:pStyle w:val="Compact"/>
              <w:jc w:val="left"/>
            </w:pPr>
            <w:r>
              <w:t xml:space="preserve">77% of allocated fund-of-fund assets</w:t>
            </w:r>
            <w:r>
              <w:t xml:space="preserve"> </w:t>
            </w:r>
            <w:fldSimple w:instr="NOTEREF _Ref_Footnote_40 \h \f">
              <w:r>
                <w:rPr>
                  <w:vertAlign w:val="superscript"/>
                </w:rPr>
                <w:t>40</w:t>
              </w:r>
            </w:fldSimple>
          </w:p>
        </w:tc>
        <w:tc>
          <w:tcPr/>
          <w:p>
            <w:pPr>
              <w:pStyle w:val="Compact"/>
              <w:jc w:val="left"/>
            </w:pPr>
            <w:r>
              <w:t xml:space="preserve">ETF Stream, 2025</w:t>
            </w:r>
          </w:p>
        </w:tc>
      </w:tr>
      <w:tr>
        <w:tc>
          <w:tcPr/>
          <w:p>
            <w:pPr>
              <w:pStyle w:val="Compact"/>
              <w:jc w:val="left"/>
            </w:pPr>
            <w:r>
              <w:t xml:space="preserve">Family office average allocation</w:t>
            </w:r>
          </w:p>
        </w:tc>
        <w:tc>
          <w:tcPr/>
          <w:p>
            <w:pPr>
              <w:pStyle w:val="Compact"/>
              <w:jc w:val="left"/>
            </w:pPr>
            <w:r>
              <w:t xml:space="preserve">~3%, MiCA-compliant</w:t>
            </w:r>
            <w:r>
              <w:t xml:space="preserve"> </w:t>
            </w:r>
            <w:r>
              <w:rPr>
                <w:vertAlign w:val="superscript"/>
              </w:rPr>
              <w:footnoteReference w:id="60"/>
            </w:r>
          </w:p>
        </w:tc>
        <w:tc>
          <w:tcPr/>
          <w:p>
            <w:pPr>
              <w:pStyle w:val="Compact"/>
              <w:jc w:val="left"/>
            </w:pPr>
            <w:r>
              <w:t xml:space="preserve">XBTO, 2026</w:t>
            </w:r>
          </w:p>
        </w:tc>
      </w:tr>
      <w:tr>
        <w:tc>
          <w:tcPr/>
          <w:p>
            <w:pPr>
              <w:pStyle w:val="Compact"/>
              <w:jc w:val="left"/>
            </w:pPr>
            <w:r>
              <w:t xml:space="preserve">Institutions viewing BTC as viable reserve asset</w:t>
            </w:r>
          </w:p>
        </w:tc>
        <w:tc>
          <w:tcPr/>
          <w:p>
            <w:pPr>
              <w:pStyle w:val="Compact"/>
              <w:jc w:val="left"/>
            </w:pPr>
            <w:r>
              <w:t xml:space="preserve">81%</w:t>
            </w:r>
            <w:r>
              <w:t xml:space="preserve"> </w:t>
            </w:r>
            <w:r>
              <w:rPr>
                <w:vertAlign w:val="superscript"/>
              </w:rPr>
              <w:footnoteReference w:id="61"/>
            </w:r>
          </w:p>
        </w:tc>
        <w:tc>
          <w:tcPr/>
          <w:p>
            <w:pPr>
              <w:pStyle w:val="Compact"/>
              <w:jc w:val="left"/>
            </w:pPr>
            <w:r>
              <w:t xml:space="preserve">Sygnum Future Finance Report, 2025</w:t>
            </w:r>
          </w:p>
        </w:tc>
      </w:tr>
      <w:tr>
        <w:tc>
          <w:tcPr/>
          <w:p>
            <w:pPr>
              <w:pStyle w:val="Compact"/>
              <w:jc w:val="left"/>
            </w:pPr>
            <w:r>
              <w:t xml:space="preserve">BlackRock European Bitcoin ETP launch</w:t>
            </w:r>
          </w:p>
        </w:tc>
        <w:tc>
          <w:tcPr/>
          <w:p>
            <w:pPr>
              <w:pStyle w:val="Compact"/>
              <w:jc w:val="left"/>
            </w:pPr>
            <w:r>
              <w:t xml:space="preserve">March 2025 on Xetra, Euronext Amsterdam/Paris</w:t>
            </w:r>
            <w:r>
              <w:t xml:space="preserve"> </w:t>
            </w:r>
            <w:r>
              <w:rPr>
                <w:vertAlign w:val="superscript"/>
              </w:rPr>
              <w:footnoteReference w:id="62"/>
            </w:r>
          </w:p>
        </w:tc>
        <w:tc>
          <w:tcPr/>
          <w:p>
            <w:pPr>
              <w:pStyle w:val="Compact"/>
              <w:jc w:val="left"/>
            </w:pPr>
            <w:r>
              <w:t xml:space="preserve">TradingView / Cointelegraph, 2025</w:t>
            </w:r>
          </w:p>
        </w:tc>
      </w:tr>
    </w:tbl>
    <w:p>
      <w:pPr>
        <w:pStyle w:val="BodyText"/>
      </w:pPr>
      <w:r>
        <w:rPr>
          <w:bCs/>
          <w:b/>
        </w:rPr>
        <w:t xml:space="preserve">European-Specific Evidence.</w:t>
      </w:r>
    </w:p>
    <w:p>
      <w:pPr>
        <w:numPr>
          <w:ilvl w:val="0"/>
          <w:numId w:val="1018"/>
        </w:numPr>
        <w:pStyle w:val="Compact"/>
      </w:pPr>
      <w:r>
        <w:t xml:space="preserve">Commerzbank partnered with Deutsche Borse subsidiary Crypto Finance in September 2024 to offer Bitcoin trading and custody for institutional clients</w:t>
      </w:r>
      <w:r>
        <w:t xml:space="preserve"> </w:t>
      </w:r>
      <w:fldSimple w:instr="NOTEREF _Ref_Footnote_1 \h \f">
        <w:r>
          <w:rPr>
            <w:vertAlign w:val="superscript"/>
          </w:rPr>
          <w:t>1</w:t>
        </w:r>
      </w:fldSimple>
      <w:r>
        <w:t xml:space="preserve"> </w:t>
      </w:r>
      <w:r>
        <w:rPr>
          <w:vertAlign w:val="superscript"/>
        </w:rPr>
        <w:footnoteReference w:id="63"/>
      </w:r>
      <w:r>
        <w:t xml:space="preserve">.</w:t>
      </w:r>
    </w:p>
    <w:p>
      <w:pPr>
        <w:numPr>
          <w:ilvl w:val="0"/>
          <w:numId w:val="1018"/>
        </w:numPr>
        <w:pStyle w:val="Compact"/>
      </w:pPr>
      <w:r>
        <w:t xml:space="preserve">DekaBank secured a crypto custody license from the ECB and BaFin in December 2024, following KfW’s issuance of Germany’s first blockchain-based digital bond</w:t>
      </w:r>
      <w:r>
        <w:t xml:space="preserve"> </w:t>
      </w:r>
      <w:fldSimple w:instr="NOTEREF _Ref_Footnote_63 \h \f">
        <w:r>
          <w:rPr>
            <w:vertAlign w:val="superscript"/>
          </w:rPr>
          <w:t>63</w:t>
        </w:r>
      </w:fldSimple>
      <w:r>
        <w:t xml:space="preserve">.</w:t>
      </w:r>
    </w:p>
    <w:p>
      <w:pPr>
        <w:numPr>
          <w:ilvl w:val="0"/>
          <w:numId w:val="1018"/>
        </w:numPr>
        <w:pStyle w:val="Compact"/>
      </w:pPr>
      <w:r>
        <w:t xml:space="preserve">Switzerland’s UBS is preparing to offer Bitcoin trading to private banking clients</w:t>
      </w:r>
      <w:r>
        <w:t xml:space="preserve"> </w:t>
      </w:r>
      <w:r>
        <w:rPr>
          <w:vertAlign w:val="superscript"/>
        </w:rPr>
        <w:footnoteReference w:id="64"/>
      </w:r>
      <w:r>
        <w:t xml:space="preserve">, while Bitcoin Suisse manages CHF 3 billion in custody assets</w:t>
      </w:r>
      <w:r>
        <w:t xml:space="preserve"> </w:t>
      </w:r>
      <w:fldSimple w:instr="NOTEREF _Ref_Footnote_50 \h \f">
        <w:r>
          <w:rPr>
            <w:vertAlign w:val="superscript"/>
          </w:rPr>
          <w:t>50</w:t>
        </w:r>
      </w:fldSimple>
      <w:r>
        <w:t xml:space="preserve">.</w:t>
      </w:r>
    </w:p>
    <w:p>
      <w:pPr>
        <w:numPr>
          <w:ilvl w:val="0"/>
          <w:numId w:val="1018"/>
        </w:numPr>
        <w:pStyle w:val="Compact"/>
      </w:pPr>
      <w:r>
        <w:t xml:space="preserve">European family offices have the lowest crypto adoption globally (14% vs. 28% APAC, 16% North America) but the strongest regulatory clarity, representing a multi-year adoption pipeline that will flow through Bitcoin-first channels</w:t>
      </w:r>
      <w:r>
        <w:t xml:space="preserve"> </w:t>
      </w:r>
      <w:fldSimple w:instr="NOTEREF _Ref_Footnote_60 \h \f">
        <w:r>
          <w:rPr>
            <w:vertAlign w:val="superscript"/>
          </w:rPr>
          <w:t>60</w:t>
        </w:r>
      </w:fldSimple>
      <w:r>
        <w:t xml:space="preserve">.</w:t>
      </w:r>
    </w:p>
    <w:p>
      <w:pPr>
        <w:numPr>
          <w:ilvl w:val="0"/>
          <w:numId w:val="1018"/>
        </w:numPr>
        <w:pStyle w:val="Compact"/>
      </w:pPr>
      <w:r>
        <w:t xml:space="preserve">Germany accounts for 23% of the European crypto market and leads institutional integration</w:t>
      </w:r>
      <w:r>
        <w:t xml:space="preserve"> </w:t>
      </w:r>
      <w:fldSimple w:instr="NOTEREF _Ref_Footnote_1 \h \f">
        <w:r>
          <w:rPr>
            <w:vertAlign w:val="superscript"/>
          </w:rPr>
          <w:t>1</w:t>
        </w:r>
      </w:fldSimple>
      <w:r>
        <w:t xml:space="preserve">.</w:t>
      </w:r>
    </w:p>
    <w:p>
      <w:pPr>
        <w:pStyle w:val="FirstParagraph"/>
      </w:pPr>
      <w:r>
        <w:rPr>
          <w:bCs/>
          <w:b/>
        </w:rPr>
        <w:t xml:space="preserve">Forward Projection (2026–2028).</w:t>
      </w:r>
    </w:p>
    <w:tbl>
      <w:tblPr>
        <w:tblStyle w:val="Table"/>
        <w:tblW w:type="pct" w:w="5000"/>
        <w:tblLook w:firstRow="1" w:lastRow="0" w:firstColumn="0" w:lastColumn="0" w:noHBand="0" w:noVBand="0" w:val="0020"/>
      </w:tblPr>
      <w:tblGrid>
        <w:gridCol w:w="1742"/>
        <w:gridCol w:w="2217"/>
        <w:gridCol w:w="2692"/>
        <w:gridCol w:w="1267"/>
      </w:tblGrid>
      <w:tr>
        <w:trPr>
          <w:tblHeader w:val="true"/>
        </w:trPr>
        <w:tc>
          <w:tcPr/>
          <w:p>
            <w:pPr>
              <w:pStyle w:val="Compact"/>
              <w:jc w:val="left"/>
            </w:pPr>
            <w:r>
              <w:t xml:space="preserve">Indicator</w:t>
            </w:r>
          </w:p>
        </w:tc>
        <w:tc>
          <w:tcPr/>
          <w:p>
            <w:pPr>
              <w:pStyle w:val="Compact"/>
              <w:jc w:val="left"/>
            </w:pPr>
            <w:r>
              <w:t xml:space="preserve">2025 Baseline</w:t>
            </w:r>
          </w:p>
        </w:tc>
        <w:tc>
          <w:tcPr/>
          <w:p>
            <w:pPr>
              <w:pStyle w:val="Compact"/>
              <w:jc w:val="left"/>
            </w:pPr>
            <w:r>
              <w:t xml:space="preserve">2028 Projection</w:t>
            </w:r>
          </w:p>
        </w:tc>
        <w:tc>
          <w:tcPr/>
          <w:p>
            <w:pPr>
              <w:pStyle w:val="Compact"/>
              <w:jc w:val="left"/>
            </w:pPr>
            <w:r>
              <w:t xml:space="preserve">Driver</w:t>
            </w:r>
          </w:p>
        </w:tc>
      </w:tr>
      <w:tr>
        <w:tc>
          <w:tcPr/>
          <w:p>
            <w:pPr>
              <w:pStyle w:val="Compact"/>
              <w:jc w:val="left"/>
            </w:pPr>
            <w:r>
              <w:t xml:space="preserve">Average institutional BTC allocation</w:t>
            </w:r>
          </w:p>
        </w:tc>
        <w:tc>
          <w:tcPr/>
          <w:p>
            <w:pPr>
              <w:pStyle w:val="Compact"/>
              <w:jc w:val="left"/>
            </w:pPr>
            <w:r>
              <w:t xml:space="preserve">1–3%</w:t>
            </w:r>
            <w:r>
              <w:t xml:space="preserve"> </w:t>
            </w:r>
            <w:fldSimple w:instr="NOTEREF _Ref_Footnote_60 \h \f">
              <w:r>
                <w:rPr>
                  <w:vertAlign w:val="superscript"/>
                </w:rPr>
                <w:t>60</w:t>
              </w:r>
            </w:fldSimple>
          </w:p>
        </w:tc>
        <w:tc>
          <w:tcPr/>
          <w:p>
            <w:pPr>
              <w:pStyle w:val="Compact"/>
              <w:jc w:val="left"/>
            </w:pPr>
            <w:r>
              <w:t xml:space="preserve">5–10% of alt. assets</w:t>
            </w:r>
          </w:p>
        </w:tc>
        <w:tc>
          <w:tcPr/>
          <w:p>
            <w:pPr>
              <w:pStyle w:val="Compact"/>
              <w:jc w:val="left"/>
            </w:pPr>
            <w:r>
              <w:t xml:space="preserve">Performance proof + MiCA clarity</w:t>
            </w:r>
          </w:p>
        </w:tc>
      </w:tr>
      <w:tr>
        <w:tc>
          <w:tcPr/>
          <w:p>
            <w:pPr>
              <w:pStyle w:val="Compact"/>
              <w:jc w:val="left"/>
            </w:pPr>
            <w:r>
              <w:t xml:space="preserve">European pension fund allocations</w:t>
            </w:r>
          </w:p>
        </w:tc>
        <w:tc>
          <w:tcPr/>
          <w:p>
            <w:pPr>
              <w:pStyle w:val="Compact"/>
              <w:jc w:val="left"/>
            </w:pPr>
            <w:r>
              <w:t xml:space="preserve">1 (UK)</w:t>
            </w:r>
          </w:p>
        </w:tc>
        <w:tc>
          <w:tcPr/>
          <w:p>
            <w:pPr>
              <w:pStyle w:val="Compact"/>
              <w:jc w:val="left"/>
            </w:pPr>
            <w:r>
              <w:t xml:space="preserve">5–10 major funds</w:t>
            </w:r>
          </w:p>
        </w:tc>
        <w:tc>
          <w:tcPr/>
          <w:p>
            <w:pPr>
              <w:pStyle w:val="Compact"/>
              <w:jc w:val="left"/>
            </w:pPr>
            <w:r>
              <w:t xml:space="preserve">UK precedent + regulatory clarity</w:t>
            </w:r>
          </w:p>
        </w:tc>
      </w:tr>
      <w:tr>
        <w:tc>
          <w:tcPr/>
          <w:p>
            <w:pPr>
              <w:pStyle w:val="Compact"/>
              <w:jc w:val="left"/>
            </w:pPr>
            <w:r>
              <w:t xml:space="preserve">Insurance/SWF entry</w:t>
            </w:r>
          </w:p>
        </w:tc>
        <w:tc>
          <w:tcPr/>
          <w:p>
            <w:pPr>
              <w:pStyle w:val="Compact"/>
              <w:jc w:val="left"/>
            </w:pPr>
            <w:r>
              <w:t xml:space="preserve">None</w:t>
            </w:r>
          </w:p>
        </w:tc>
        <w:tc>
          <w:tcPr/>
          <w:p>
            <w:pPr>
              <w:pStyle w:val="Compact"/>
              <w:jc w:val="left"/>
            </w:pPr>
            <w:r>
              <w:t xml:space="preserve">First entrants expected</w:t>
            </w:r>
          </w:p>
        </w:tc>
        <w:tc>
          <w:tcPr/>
          <w:p>
            <w:pPr>
              <w:pStyle w:val="Compact"/>
              <w:jc w:val="left"/>
            </w:pPr>
            <w:r>
              <w:rPr>
                <w:vertAlign w:val="superscript"/>
              </w:rPr>
              <w:footnoteReference w:id="65"/>
            </w:r>
            <w:r>
              <w:t xml:space="preserve">Sygnum survey</w:t>
            </w:r>
          </w:p>
        </w:tc>
      </w:tr>
    </w:tbl>
    <w:p>
      <w:pPr>
        <w:numPr>
          <w:ilvl w:val="0"/>
          <w:numId w:val="1019"/>
        </w:numPr>
        <w:pStyle w:val="Compact"/>
      </w:pPr>
      <w:r>
        <w:t xml:space="preserve">MiCA-compliant custody infrastructure is projected to mature, enabling broader institutional participation across the EU.</w:t>
      </w:r>
    </w:p>
    <w:p>
      <w:pPr>
        <w:numPr>
          <w:ilvl w:val="0"/>
          <w:numId w:val="1019"/>
        </w:numPr>
        <w:pStyle w:val="Compact"/>
      </w:pPr>
      <w:r>
        <w:t xml:space="preserve">Bitcoin treasury adoption by European corporates is expected to accelerate following the</w:t>
      </w:r>
      <w:r>
        <w:t xml:space="preserve"> </w:t>
      </w:r>
      <w:r>
        <w:t xml:space="preserve">“</w:t>
      </w:r>
      <w:r>
        <w:t xml:space="preserve">MicroStrategy model,</w:t>
      </w:r>
      <w:r>
        <w:t xml:space="preserve">”</w:t>
      </w:r>
      <w:r>
        <w:t xml:space="preserve"> </w:t>
      </w:r>
      <w:r>
        <w:t xml:space="preserve">with insurance and sovereign wealth fund entry anticipated in 2026–2027</w:t>
      </w:r>
      <w:r>
        <w:t xml:space="preserve"> </w:t>
      </w:r>
      <w:fldSimple w:instr="NOTEREF _Ref_Footnote_65 \h \f">
        <w:r>
          <w:rPr>
            <w:vertAlign w:val="superscript"/>
          </w:rPr>
          <w:t>65</w:t>
        </w:r>
      </w:fldSimple>
      <w:r>
        <w:t xml:space="preserve">.</w:t>
      </w:r>
    </w:p>
    <w:p>
      <w:r>
        <w:pict>
          <v:rect style="width:0;height:1.5pt" o:hralign="center" o:hrstd="t" o:hr="t"/>
        </w:pict>
      </w:r>
    </w:p>
    <w:bookmarkEnd w:id="43"/>
    <w:bookmarkStart w:id="44" w:name="X2f30c8867de1a9e440d940cbd2ceffa2b4ba6f5"/>
    <w:p>
      <w:pPr>
        <w:pStyle w:val="Heading3"/>
      </w:pPr>
      <w:r>
        <w:t xml:space="preserve">2.5 Trend 5: Sovereign Individual Wealth Protection</w:t>
      </w:r>
    </w:p>
    <w:p>
      <w:pPr>
        <w:pStyle w:val="FirstParagraph"/>
      </w:pPr>
      <w:r>
        <w:rPr>
          <w:bCs/>
          <w:b/>
        </w:rPr>
        <w:t xml:space="preserve">Description.</w:t>
      </w:r>
      <w:r>
        <w:t xml:space="preserve"> </w:t>
      </w:r>
      <w:r>
        <w:t xml:space="preserve">European high-net-worth individuals (HNWIs), family offices, and wealth managers are increasingly viewing Bitcoin as a strategic portfolio allocation for wealth preservation and inflation hedging. Amid persistent European inflation, geopolitical instability, and mounting sovereign debt (projected to reach $400+ trillion globally by 2030</w:t>
      </w:r>
      <w:r>
        <w:t xml:space="preserve"> </w:t>
      </w:r>
      <w:fldSimple w:instr="NOTEREF _Ref_Footnote_65 \h \f">
        <w:r>
          <w:rPr>
            <w:vertAlign w:val="superscript"/>
          </w:rPr>
          <w:t>65</w:t>
        </w:r>
      </w:fldSimple>
      <w:r>
        <w:t xml:space="preserve">), Bitcoin’s fixed supply and decentralized nature is driving demand among Europeans seeking financial sovereignty.</w:t>
      </w:r>
    </w:p>
    <w:p>
      <w:pPr>
        <w:pStyle w:val="BodyText"/>
      </w:pPr>
      <w:r>
        <w:rPr>
          <w:bCs/>
          <w:b/>
        </w:rPr>
        <w:t xml:space="preserve">Key Metrics.</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Global crypto users citing inflation hedge</w:t>
            </w:r>
          </w:p>
        </w:tc>
        <w:tc>
          <w:tcPr/>
          <w:p>
            <w:pPr>
              <w:pStyle w:val="Compact"/>
              <w:jc w:val="left"/>
            </w:pPr>
            <w:r>
              <w:t xml:space="preserve">46% (up from 29% in Q1 2025)</w:t>
            </w:r>
            <w:r>
              <w:t xml:space="preserve"> </w:t>
            </w:r>
            <w:fldSimple w:instr="NOTEREF _Ref_Footnote_41 \h \f">
              <w:r>
                <w:rPr>
                  <w:vertAlign w:val="superscript"/>
                </w:rPr>
                <w:t>41</w:t>
              </w:r>
            </w:fldSimple>
          </w:p>
        </w:tc>
        <w:tc>
          <w:tcPr/>
          <w:p>
            <w:pPr>
              <w:pStyle w:val="Compact"/>
              <w:jc w:val="left"/>
            </w:pPr>
            <w:r>
              <w:t xml:space="preserve">MEXC Survey / Crypto Briefing, 2025</w:t>
            </w:r>
          </w:p>
        </w:tc>
      </w:tr>
      <w:tr>
        <w:tc>
          <w:tcPr/>
          <w:p>
            <w:pPr>
              <w:pStyle w:val="Compact"/>
              <w:jc w:val="left"/>
            </w:pPr>
            <w:r>
              <w:t xml:space="preserve">Institutions viewing BTC as reserve asset</w:t>
            </w:r>
          </w:p>
        </w:tc>
        <w:tc>
          <w:tcPr/>
          <w:p>
            <w:pPr>
              <w:pStyle w:val="Compact"/>
              <w:jc w:val="left"/>
            </w:pPr>
            <w:r>
              <w:t xml:space="preserve">81%</w:t>
            </w:r>
            <w:r>
              <w:t xml:space="preserve"> </w:t>
            </w:r>
            <w:fldSimple w:instr="NOTEREF _Ref_Footnote_61 \h \f">
              <w:r>
                <w:rPr>
                  <w:vertAlign w:val="superscript"/>
                </w:rPr>
                <w:t>61</w:t>
              </w:r>
            </w:fldSimple>
          </w:p>
        </w:tc>
        <w:tc>
          <w:tcPr/>
          <w:p>
            <w:pPr>
              <w:pStyle w:val="Compact"/>
              <w:jc w:val="left"/>
            </w:pPr>
            <w:r>
              <w:t xml:space="preserve">Sygnum Future Finance Report, 2025</w:t>
            </w:r>
          </w:p>
        </w:tc>
      </w:tr>
      <w:tr>
        <w:tc>
          <w:tcPr/>
          <w:p>
            <w:pPr>
              <w:pStyle w:val="Compact"/>
              <w:jc w:val="left"/>
            </w:pPr>
            <w:r>
              <w:t xml:space="preserve">Institutions agreeing cash carries greater risk than BTC (5-yr)</w:t>
            </w:r>
          </w:p>
        </w:tc>
        <w:tc>
          <w:tcPr/>
          <w:p>
            <w:pPr>
              <w:pStyle w:val="Compact"/>
              <w:jc w:val="left"/>
            </w:pPr>
            <w:r>
              <w:t xml:space="preserve">71%</w:t>
            </w:r>
            <w:r>
              <w:t xml:space="preserve"> </w:t>
            </w:r>
            <w:fldSimple w:instr="NOTEREF _Ref_Footnote_61 \h \f">
              <w:r>
                <w:rPr>
                  <w:vertAlign w:val="superscript"/>
                </w:rPr>
                <w:t>61</w:t>
              </w:r>
            </w:fldSimple>
          </w:p>
        </w:tc>
        <w:tc>
          <w:tcPr/>
          <w:p>
            <w:pPr>
              <w:pStyle w:val="Compact"/>
              <w:jc w:val="left"/>
            </w:pPr>
            <w:r>
              <w:t xml:space="preserve">Sygnum Future Finance Report, 2025</w:t>
            </w:r>
          </w:p>
        </w:tc>
      </w:tr>
      <w:tr>
        <w:tc>
          <w:tcPr/>
          <w:p>
            <w:pPr>
              <w:pStyle w:val="Compact"/>
              <w:jc w:val="left"/>
            </w:pPr>
            <w:r>
              <w:t xml:space="preserve">HNWI allocation to crypto (alt. portfolios)</w:t>
            </w:r>
          </w:p>
        </w:tc>
        <w:tc>
          <w:tcPr/>
          <w:p>
            <w:pPr>
              <w:pStyle w:val="Compact"/>
              <w:jc w:val="left"/>
            </w:pPr>
            <w:r>
              <w:t xml:space="preserve">15% (equal to private equity)</w:t>
            </w:r>
            <w:r>
              <w:t xml:space="preserve"> </w:t>
            </w:r>
            <w:r>
              <w:rPr>
                <w:vertAlign w:val="superscript"/>
              </w:rPr>
              <w:footnoteReference w:id="66"/>
            </w:r>
          </w:p>
        </w:tc>
        <w:tc>
          <w:tcPr/>
          <w:p>
            <w:pPr>
              <w:pStyle w:val="Compact"/>
              <w:jc w:val="left"/>
            </w:pPr>
            <w:r>
              <w:t xml:space="preserve">Capgemini World Wealth Report, 2025</w:t>
            </w:r>
          </w:p>
        </w:tc>
      </w:tr>
      <w:tr>
        <w:tc>
          <w:tcPr/>
          <w:p>
            <w:pPr>
              <w:pStyle w:val="Compact"/>
              <w:jc w:val="left"/>
            </w:pPr>
            <w:r>
              <w:t xml:space="preserve">Bitcoin price (Oct 2025 peak)</w:t>
            </w:r>
          </w:p>
        </w:tc>
        <w:tc>
          <w:tcPr/>
          <w:p>
            <w:pPr>
              <w:pStyle w:val="Compact"/>
              <w:jc w:val="left"/>
            </w:pPr>
            <w:r>
              <w:t xml:space="preserve">$125,000+</w:t>
            </w:r>
            <w:r>
              <w:t xml:space="preserve"> </w:t>
            </w:r>
            <w:r>
              <w:rPr>
                <w:vertAlign w:val="superscript"/>
              </w:rPr>
              <w:footnoteReference w:id="67"/>
            </w:r>
            <w:r>
              <w:t xml:space="preserve"> </w:t>
            </w:r>
            <w:r>
              <w:rPr>
                <w:vertAlign w:val="superscript"/>
              </w:rPr>
              <w:footnoteReference w:id="68"/>
            </w:r>
          </w:p>
        </w:tc>
        <w:tc>
          <w:tcPr/>
          <w:p>
            <w:pPr>
              <w:pStyle w:val="Compact"/>
              <w:jc w:val="left"/>
            </w:pPr>
            <w:r>
              <w:t xml:space="preserve">iShares; CoinDesk, 2025</w:t>
            </w:r>
          </w:p>
        </w:tc>
      </w:tr>
      <w:tr>
        <w:tc>
          <w:tcPr/>
          <w:p>
            <w:pPr>
              <w:pStyle w:val="Compact"/>
              <w:jc w:val="left"/>
            </w:pPr>
            <w:r>
              <w:t xml:space="preserve">Bitcoin dominance (Dec 2025)</w:t>
            </w:r>
          </w:p>
        </w:tc>
        <w:tc>
          <w:tcPr/>
          <w:p>
            <w:pPr>
              <w:pStyle w:val="Compact"/>
              <w:jc w:val="left"/>
            </w:pPr>
            <w:r>
              <w:t xml:space="preserve">60% (highest since Nov 2021)</w:t>
            </w:r>
            <w:r>
              <w:t xml:space="preserve"> </w:t>
            </w:r>
            <w:fldSimple w:instr="NOTEREF _Ref_Footnote_68 \h \f">
              <w:r>
                <w:rPr>
                  <w:vertAlign w:val="superscript"/>
                </w:rPr>
                <w:t>68</w:t>
              </w:r>
            </w:fldSimple>
          </w:p>
        </w:tc>
        <w:tc>
          <w:tcPr/>
          <w:p>
            <w:pPr>
              <w:pStyle w:val="Compact"/>
              <w:jc w:val="left"/>
            </w:pPr>
            <w:r>
              <w:t xml:space="preserve">CoinDesk, 2025</w:t>
            </w:r>
          </w:p>
        </w:tc>
      </w:tr>
      <w:tr>
        <w:tc>
          <w:tcPr/>
          <w:p>
            <w:pPr>
              <w:pStyle w:val="Compact"/>
              <w:jc w:val="left"/>
            </w:pPr>
            <w:r>
              <w:t xml:space="preserve">Non-crypto-holding investors planning allocation</w:t>
            </w:r>
          </w:p>
        </w:tc>
        <w:tc>
          <w:tcPr/>
          <w:p>
            <w:pPr>
              <w:pStyle w:val="Compact"/>
              <w:jc w:val="left"/>
            </w:pPr>
            <w:r>
              <w:t xml:space="preserve">36%</w:t>
            </w:r>
            <w:r>
              <w:t xml:space="preserve"> </w:t>
            </w:r>
            <w:fldSimple w:instr="NOTEREF _Ref_Footnote_61 \h \f">
              <w:r>
                <w:rPr>
                  <w:vertAlign w:val="superscript"/>
                </w:rPr>
                <w:t>61</w:t>
              </w:r>
            </w:fldSimple>
          </w:p>
        </w:tc>
        <w:tc>
          <w:tcPr/>
          <w:p>
            <w:pPr>
              <w:pStyle w:val="Compact"/>
              <w:jc w:val="left"/>
            </w:pPr>
            <w:r>
              <w:t xml:space="preserve">Sygnum Future Finance Report, 2025</w:t>
            </w:r>
          </w:p>
        </w:tc>
      </w:tr>
    </w:tbl>
    <w:p>
      <w:pPr>
        <w:pStyle w:val="BodyText"/>
      </w:pPr>
      <w:r>
        <w:rPr>
          <w:bCs/>
          <w:b/>
        </w:rPr>
        <w:t xml:space="preserve">European-Specific Evidence.</w:t>
      </w:r>
    </w:p>
    <w:p>
      <w:pPr>
        <w:numPr>
          <w:ilvl w:val="0"/>
          <w:numId w:val="1020"/>
        </w:numPr>
        <w:pStyle w:val="Compact"/>
      </w:pPr>
      <w:r>
        <w:t xml:space="preserve">Switzerland has emerged as the epicenter of Bitcoin wealth management, with firms like Bitcoin Suisse offering institutional-grade vault custody with ISAE 3402 Type 2 auditing by PwC</w:t>
      </w:r>
      <w:r>
        <w:t xml:space="preserve"> </w:t>
      </w:r>
      <w:fldSimple w:instr="NOTEREF _Ref_Footnote_50 \h \f">
        <w:r>
          <w:rPr>
            <w:vertAlign w:val="superscript"/>
          </w:rPr>
          <w:t>50</w:t>
        </w:r>
      </w:fldSimple>
      <w:r>
        <w:t xml:space="preserve">. Swiss private banks are increasingly integrating Bitcoin into wealth advisory services.</w:t>
      </w:r>
    </w:p>
    <w:p>
      <w:pPr>
        <w:numPr>
          <w:ilvl w:val="0"/>
          <w:numId w:val="1020"/>
        </w:numPr>
        <w:pStyle w:val="Compact"/>
      </w:pPr>
      <w:r>
        <w:t xml:space="preserve">European wealth managers and fund-of-fund investors now allocate an average 3% to crypto ETPs, with Germany leading at 77% of European crypto ETP fund-of-fund assets</w:t>
      </w:r>
      <w:r>
        <w:t xml:space="preserve"> </w:t>
      </w:r>
      <w:fldSimple w:instr="NOTEREF _Ref_Footnote_40 \h \f">
        <w:r>
          <w:rPr>
            <w:vertAlign w:val="superscript"/>
          </w:rPr>
          <w:t>40</w:t>
        </w:r>
      </w:fldSimple>
      <w:r>
        <w:t xml:space="preserve">.</w:t>
      </w:r>
    </w:p>
    <w:p>
      <w:pPr>
        <w:numPr>
          <w:ilvl w:val="0"/>
          <w:numId w:val="1020"/>
        </w:numPr>
        <w:pStyle w:val="Compact"/>
      </w:pPr>
      <w:r>
        <w:t xml:space="preserve">Relai’s success with auto-invest savings plans (starting at EUR 10/week) demonstrates strong retail demand for Bitcoin as a savings vehicle across Europe</w:t>
      </w:r>
      <w:r>
        <w:t xml:space="preserve"> </w:t>
      </w:r>
      <w:fldSimple w:instr="NOTEREF _Ref_Footnote_44 \h \f">
        <w:r>
          <w:rPr>
            <w:vertAlign w:val="superscript"/>
          </w:rPr>
          <w:t>44</w:t>
        </w:r>
      </w:fldSimple>
      <w:r>
        <w:t xml:space="preserve">.</w:t>
      </w:r>
    </w:p>
    <w:p>
      <w:pPr>
        <w:numPr>
          <w:ilvl w:val="0"/>
          <w:numId w:val="1020"/>
        </w:numPr>
        <w:pStyle w:val="Compact"/>
      </w:pPr>
      <w:r>
        <w:t xml:space="preserve">The UK’s first pension fund Bitcoin allocation (3%, returning +76% vs. gold +37% and global equities +15%) signals broader acceptance of Bitcoin as a legitimate portfolio diversifier alongside gold and equities</w:t>
      </w:r>
      <w:r>
        <w:t xml:space="preserve"> </w:t>
      </w:r>
      <w:fldSimple w:instr="NOTEREF _Ref_Footnote_58 \h \f">
        <w:r>
          <w:rPr>
            <w:vertAlign w:val="superscript"/>
          </w:rPr>
          <w:t>58</w:t>
        </w:r>
      </w:fldSimple>
      <w:r>
        <w:t xml:space="preserve"> </w:t>
      </w:r>
      <w:fldSimple w:instr="NOTEREF _Ref_Footnote_59 \h \f">
        <w:r>
          <w:rPr>
            <w:vertAlign w:val="superscript"/>
          </w:rPr>
          <w:t>59</w:t>
        </w:r>
      </w:fldSimple>
      <w:r>
        <w:t xml:space="preserve">.</w:t>
      </w:r>
    </w:p>
    <w:p>
      <w:pPr>
        <w:numPr>
          <w:ilvl w:val="0"/>
          <w:numId w:val="1020"/>
        </w:numPr>
        <w:pStyle w:val="Compact"/>
      </w:pPr>
      <w:r>
        <w:t xml:space="preserve">Europe’s wealth protection narrative is uniquely shaped by the Eurozone’s inflation history, energy crisis aftermath, and geopolitical tensions — factors that align with Bitcoin’s value proposition as a non-sovereign store of value.</w:t>
      </w:r>
    </w:p>
    <w:p>
      <w:pPr>
        <w:pStyle w:val="FirstParagraph"/>
      </w:pPr>
      <w:r>
        <w:rPr>
          <w:bCs/>
          <w:b/>
        </w:rPr>
        <w:t xml:space="preserve">Forward Projection (2026–2028).</w:t>
      </w:r>
    </w:p>
    <w:tbl>
      <w:tblPr>
        <w:tblStyle w:val="Table"/>
        <w:tblW w:type="pct" w:w="5000"/>
        <w:tblLook w:firstRow="1" w:lastRow="0" w:firstColumn="0" w:lastColumn="0" w:noHBand="0" w:noVBand="0" w:val="0020"/>
      </w:tblPr>
      <w:tblGrid>
        <w:gridCol w:w="1742"/>
        <w:gridCol w:w="2217"/>
        <w:gridCol w:w="2692"/>
        <w:gridCol w:w="1267"/>
      </w:tblGrid>
      <w:tr>
        <w:trPr>
          <w:tblHeader w:val="true"/>
        </w:trPr>
        <w:tc>
          <w:tcPr/>
          <w:p>
            <w:pPr>
              <w:pStyle w:val="Compact"/>
              <w:jc w:val="left"/>
            </w:pPr>
            <w:r>
              <w:t xml:space="preserve">Indicator</w:t>
            </w:r>
          </w:p>
        </w:tc>
        <w:tc>
          <w:tcPr/>
          <w:p>
            <w:pPr>
              <w:pStyle w:val="Compact"/>
              <w:jc w:val="left"/>
            </w:pPr>
            <w:r>
              <w:t xml:space="preserve">2025 Baseline</w:t>
            </w:r>
          </w:p>
        </w:tc>
        <w:tc>
          <w:tcPr/>
          <w:p>
            <w:pPr>
              <w:pStyle w:val="Compact"/>
              <w:jc w:val="left"/>
            </w:pPr>
            <w:r>
              <w:t xml:space="preserve">2028 Projection</w:t>
            </w:r>
          </w:p>
        </w:tc>
        <w:tc>
          <w:tcPr/>
          <w:p>
            <w:pPr>
              <w:pStyle w:val="Compact"/>
              <w:jc w:val="left"/>
            </w:pPr>
            <w:r>
              <w:t xml:space="preserve">Driver</w:t>
            </w:r>
          </w:p>
        </w:tc>
      </w:tr>
      <w:tr>
        <w:tc>
          <w:tcPr/>
          <w:p>
            <w:pPr>
              <w:pStyle w:val="Compact"/>
              <w:jc w:val="left"/>
            </w:pPr>
            <w:r>
              <w:t xml:space="preserve">HNWI crypto allocation (alt. portfolios)</w:t>
            </w:r>
          </w:p>
        </w:tc>
        <w:tc>
          <w:tcPr/>
          <w:p>
            <w:pPr>
              <w:pStyle w:val="Compact"/>
              <w:jc w:val="left"/>
            </w:pPr>
            <w:r>
              <w:t xml:space="preserve">15%</w:t>
            </w:r>
            <w:r>
              <w:t xml:space="preserve"> </w:t>
            </w:r>
            <w:fldSimple w:instr="NOTEREF _Ref_Footnote_66 \h \f">
              <w:r>
                <w:rPr>
                  <w:vertAlign w:val="superscript"/>
                </w:rPr>
                <w:t>66</w:t>
              </w:r>
            </w:fldSimple>
          </w:p>
        </w:tc>
        <w:tc>
          <w:tcPr/>
          <w:p>
            <w:pPr>
              <w:pStyle w:val="Compact"/>
              <w:jc w:val="left"/>
            </w:pPr>
            <w:r>
              <w:t xml:space="preserve">20–25%</w:t>
            </w:r>
          </w:p>
        </w:tc>
        <w:tc>
          <w:tcPr/>
          <w:p>
            <w:pPr>
              <w:pStyle w:val="Compact"/>
              <w:jc w:val="left"/>
            </w:pPr>
            <w:r>
              <w:t xml:space="preserve">Inflation + sovereign debt concerns</w:t>
            </w:r>
          </w:p>
        </w:tc>
      </w:tr>
      <w:tr>
        <w:tc>
          <w:tcPr/>
          <w:p>
            <w:pPr>
              <w:pStyle w:val="Compact"/>
              <w:jc w:val="left"/>
            </w:pPr>
            <w:r>
              <w:t xml:space="preserve">European users citing inflation hedge</w:t>
            </w:r>
          </w:p>
        </w:tc>
        <w:tc>
          <w:tcPr/>
          <w:p>
            <w:pPr>
              <w:pStyle w:val="Compact"/>
              <w:jc w:val="left"/>
            </w:pPr>
            <w:r>
              <w:t xml:space="preserve">~46%</w:t>
            </w:r>
            <w:r>
              <w:t xml:space="preserve"> </w:t>
            </w:r>
            <w:fldSimple w:instr="NOTEREF _Ref_Footnote_41 \h \f">
              <w:r>
                <w:rPr>
                  <w:vertAlign w:val="superscript"/>
                </w:rPr>
                <w:t>41</w:t>
              </w:r>
            </w:fldSimple>
          </w:p>
        </w:tc>
        <w:tc>
          <w:tcPr/>
          <w:p>
            <w:pPr>
              <w:pStyle w:val="Compact"/>
              <w:jc w:val="left"/>
            </w:pPr>
            <w:r>
              <w:t xml:space="preserve">60%+</w:t>
            </w:r>
          </w:p>
        </w:tc>
        <w:tc>
          <w:tcPr/>
          <w:p>
            <w:pPr>
              <w:pStyle w:val="Compact"/>
              <w:jc w:val="left"/>
            </w:pPr>
            <w:r>
              <w:t xml:space="preserve">Eurozone monetary policy</w:t>
            </w:r>
          </w:p>
        </w:tc>
      </w:tr>
      <w:tr>
        <w:tc>
          <w:tcPr/>
          <w:p>
            <w:pPr>
              <w:pStyle w:val="Compact"/>
              <w:jc w:val="left"/>
            </w:pPr>
            <w:r>
              <w:t xml:space="preserve">Bitcoin-only savings app users (EU)</w:t>
            </w:r>
          </w:p>
        </w:tc>
        <w:tc>
          <w:tcPr/>
          <w:p>
            <w:pPr>
              <w:pStyle w:val="Compact"/>
              <w:jc w:val="left"/>
            </w:pPr>
            <w:r>
              <w:t xml:space="preserve">500K+ (Relai-led)</w:t>
            </w:r>
          </w:p>
        </w:tc>
        <w:tc>
          <w:tcPr/>
          <w:p>
            <w:pPr>
              <w:pStyle w:val="Compact"/>
              <w:jc w:val="left"/>
            </w:pPr>
            <w:r>
              <w:t xml:space="preserve">3–5 million</w:t>
            </w:r>
          </w:p>
        </w:tc>
        <w:tc>
          <w:tcPr/>
          <w:p>
            <w:pPr>
              <w:pStyle w:val="Compact"/>
              <w:jc w:val="left"/>
            </w:pPr>
            <w:r>
              <w:t xml:space="preserve">Auto-invest product expansion</w:t>
            </w:r>
          </w:p>
        </w:tc>
      </w:tr>
    </w:tbl>
    <w:p>
      <w:pPr>
        <w:numPr>
          <w:ilvl w:val="0"/>
          <w:numId w:val="1021"/>
        </w:numPr>
        <w:pStyle w:val="Compact"/>
      </w:pPr>
      <w:r>
        <w:t xml:space="preserve">Bitcoin allocations in European HNWI portfolios are projected to grow from 3% to 5–7% by 2028, driven by sovereign debt concerns and monetary debasement narratives.</w:t>
      </w:r>
    </w:p>
    <w:p>
      <w:pPr>
        <w:numPr>
          <w:ilvl w:val="0"/>
          <w:numId w:val="1021"/>
        </w:numPr>
        <w:pStyle w:val="Compact"/>
      </w:pPr>
      <w:r>
        <w:t xml:space="preserve">Wealth preservation demand is projected to increasingly favor Bitcoin-only services over multi-asset crypto platforms, as European investors prioritize security, simplicity, and regulatory clarity — all Bitcoin strengths.</w:t>
      </w:r>
    </w:p>
    <w:p>
      <w:r>
        <w:pict>
          <v:rect style="width:0;height:1.5pt" o:hralign="center" o:hrstd="t" o:hr="t"/>
        </w:pict>
      </w:r>
    </w:p>
    <w:bookmarkEnd w:id="44"/>
    <w:bookmarkStart w:id="45" w:name="X617f0b1a2592cb66f73e74b610a691686d64b82"/>
    <w:p>
      <w:pPr>
        <w:pStyle w:val="Heading3"/>
      </w:pPr>
      <w:r>
        <w:t xml:space="preserve">2.6 Summary: Impact Matrix and Confidence Ratings</w:t>
      </w:r>
    </w:p>
    <w:tbl>
      <w:tblPr>
        <w:tblStyle w:val="Table"/>
        <w:tblW w:type="pct" w:w="5000"/>
        <w:tblLook w:firstRow="1" w:lastRow="0" w:firstColumn="0" w:lastColumn="0" w:noHBand="0" w:noVBand="0" w:val="0020"/>
      </w:tblPr>
      <w:tblGrid>
        <w:gridCol w:w="667"/>
        <w:gridCol w:w="1908"/>
        <w:gridCol w:w="2099"/>
        <w:gridCol w:w="1145"/>
        <w:gridCol w:w="2099"/>
      </w:tblGrid>
      <w:tr>
        <w:trPr>
          <w:tblHeader w:val="true"/>
        </w:trPr>
        <w:tc>
          <w:tcPr/>
          <w:p>
            <w:pPr>
              <w:pStyle w:val="Compact"/>
              <w:jc w:val="left"/>
            </w:pPr>
            <w:r>
              <w:t xml:space="preserve">Trend</w:t>
            </w:r>
          </w:p>
        </w:tc>
        <w:tc>
          <w:tcPr/>
          <w:p>
            <w:pPr>
              <w:pStyle w:val="Compact"/>
              <w:jc w:val="left"/>
            </w:pPr>
            <w:r>
              <w:t xml:space="preserve">Key Metric (2025)</w:t>
            </w:r>
          </w:p>
        </w:tc>
        <w:tc>
          <w:tcPr/>
          <w:p>
            <w:pPr>
              <w:pStyle w:val="Compact"/>
              <w:jc w:val="left"/>
            </w:pPr>
            <w:r>
              <w:t xml:space="preserve">2026–2028 Projection</w:t>
            </w:r>
          </w:p>
        </w:tc>
        <w:tc>
          <w:tcPr/>
          <w:p>
            <w:pPr>
              <w:pStyle w:val="Compact"/>
              <w:jc w:val="left"/>
            </w:pPr>
            <w:r>
              <w:t xml:space="preserve">Confidence</w:t>
            </w:r>
          </w:p>
        </w:tc>
        <w:tc>
          <w:tcPr/>
          <w:p>
            <w:pPr>
              <w:pStyle w:val="Compact"/>
              <w:jc w:val="left"/>
            </w:pPr>
            <w:r>
              <w:t xml:space="preserve">Primary Beneficiaries</w:t>
            </w:r>
          </w:p>
        </w:tc>
      </w:tr>
      <w:tr>
        <w:tc>
          <w:tcPr/>
          <w:p>
            <w:pPr>
              <w:pStyle w:val="Compact"/>
              <w:jc w:val="left"/>
            </w:pPr>
            <w:r>
              <w:t xml:space="preserve">1. Regulatory Arbitrage Post-MiCA</w:t>
            </w:r>
          </w:p>
        </w:tc>
        <w:tc>
          <w:tcPr/>
          <w:p>
            <w:pPr>
              <w:pStyle w:val="Compact"/>
              <w:jc w:val="left"/>
            </w:pPr>
            <w:r>
              <w:t xml:space="preserve">58% European users on non-custodial wallets</w:t>
            </w:r>
            <w:r>
              <w:t xml:space="preserve"> </w:t>
            </w:r>
            <w:fldSimple w:instr="NOTEREF _Ref_Footnote_29 \h \f">
              <w:r>
                <w:rPr>
                  <w:vertAlign w:val="superscript"/>
                </w:rPr>
                <w:t>29</w:t>
              </w:r>
            </w:fldSimple>
          </w:p>
        </w:tc>
        <w:tc>
          <w:tcPr/>
          <w:p>
            <w:pPr>
              <w:pStyle w:val="Compact"/>
              <w:jc w:val="left"/>
            </w:pPr>
            <w:r>
              <w:t xml:space="preserve">70%+ by 2028</w:t>
            </w:r>
          </w:p>
        </w:tc>
        <w:tc>
          <w:tcPr/>
          <w:p>
            <w:pPr>
              <w:pStyle w:val="Compact"/>
              <w:jc w:val="left"/>
            </w:pPr>
            <w:r>
              <w:t xml:space="preserve">HIGH</w:t>
            </w:r>
          </w:p>
        </w:tc>
        <w:tc>
          <w:tcPr/>
          <w:p>
            <w:pPr>
              <w:pStyle w:val="Compact"/>
              <w:jc w:val="left"/>
            </w:pPr>
            <w:r>
              <w:t xml:space="preserve">Non-custodial wallets, P2P exchanges</w:t>
            </w:r>
          </w:p>
        </w:tc>
      </w:tr>
      <w:tr>
        <w:tc>
          <w:tcPr/>
          <w:p>
            <w:pPr>
              <w:pStyle w:val="Compact"/>
              <w:jc w:val="left"/>
            </w:pPr>
            <w:r>
              <w:t xml:space="preserve">2. The Self-Custody Movement</w:t>
            </w:r>
          </w:p>
        </w:tc>
        <w:tc>
          <w:tcPr/>
          <w:p>
            <w:pPr>
              <w:pStyle w:val="Compact"/>
              <w:jc w:val="left"/>
            </w:pPr>
            <w:r>
              <w:t xml:space="preserve">100–120K BTC monthly exchange outflows</w:t>
            </w:r>
            <w:r>
              <w:t xml:space="preserve"> </w:t>
            </w:r>
            <w:fldSimple w:instr="NOTEREF _Ref_Footnote_39 \h \f">
              <w:r>
                <w:rPr>
                  <w:vertAlign w:val="superscript"/>
                </w:rPr>
                <w:t>39</w:t>
              </w:r>
            </w:fldSimple>
          </w:p>
        </w:tc>
        <w:tc>
          <w:tcPr/>
          <w:p>
            <w:pPr>
              <w:pStyle w:val="Compact"/>
              <w:jc w:val="left"/>
            </w:pPr>
            <w:r>
              <w:t xml:space="preserve">Sustained outflows; 50M+ EU self-custody users</w:t>
            </w:r>
          </w:p>
        </w:tc>
        <w:tc>
          <w:tcPr/>
          <w:p>
            <w:pPr>
              <w:pStyle w:val="Compact"/>
              <w:jc w:val="left"/>
            </w:pPr>
            <w:r>
              <w:t xml:space="preserve">HIGH</w:t>
            </w:r>
          </w:p>
        </w:tc>
        <w:tc>
          <w:tcPr/>
          <w:p>
            <w:pPr>
              <w:pStyle w:val="Compact"/>
              <w:jc w:val="left"/>
            </w:pPr>
            <w:r>
              <w:t xml:space="preserve">Hardware wallets, multisig services</w:t>
            </w:r>
          </w:p>
        </w:tc>
      </w:tr>
      <w:tr>
        <w:tc>
          <w:tcPr/>
          <w:p>
            <w:pPr>
              <w:pStyle w:val="Compact"/>
              <w:jc w:val="left"/>
            </w:pPr>
            <w:r>
              <w:t xml:space="preserve">3. Lightning Infrastructure</w:t>
            </w:r>
          </w:p>
        </w:tc>
        <w:tc>
          <w:tcPr/>
          <w:p>
            <w:pPr>
              <w:pStyle w:val="Compact"/>
              <w:jc w:val="left"/>
            </w:pPr>
            <w:r>
              <w:t xml:space="preserve">266% YoY volume growth; 5,637 BTC capacity</w:t>
            </w:r>
            <w:r>
              <w:t xml:space="preserve"> </w:t>
            </w:r>
            <w:fldSimple w:instr="NOTEREF _Ref_Footnote_7 \h \f">
              <w:r>
                <w:rPr>
                  <w:vertAlign w:val="superscript"/>
                </w:rPr>
                <w:t>7</w:t>
              </w:r>
            </w:fldSimple>
            <w:r>
              <w:t xml:space="preserve"> </w:t>
            </w:r>
            <w:fldSimple w:instr="NOTEREF _Ref_Footnote_51 \h \f">
              <w:r>
                <w:rPr>
                  <w:vertAlign w:val="superscript"/>
                </w:rPr>
                <w:t>51</w:t>
              </w:r>
            </w:fldSimple>
          </w:p>
        </w:tc>
        <w:tc>
          <w:tcPr/>
          <w:p>
            <w:pPr>
              <w:pStyle w:val="Compact"/>
              <w:jc w:val="left"/>
            </w:pPr>
            <w:r>
              <w:t xml:space="preserve">$50B+ annual payment volume</w:t>
            </w:r>
          </w:p>
        </w:tc>
        <w:tc>
          <w:tcPr/>
          <w:p>
            <w:pPr>
              <w:pStyle w:val="Compact"/>
              <w:jc w:val="left"/>
            </w:pPr>
            <w:r>
              <w:t xml:space="preserve">HIGH</w:t>
            </w:r>
          </w:p>
        </w:tc>
        <w:tc>
          <w:tcPr/>
          <w:p>
            <w:pPr>
              <w:pStyle w:val="Compact"/>
              <w:jc w:val="left"/>
            </w:pPr>
            <w:r>
              <w:t xml:space="preserve">Payment processors, merchant gateways</w:t>
            </w:r>
          </w:p>
        </w:tc>
      </w:tr>
      <w:tr>
        <w:tc>
          <w:tcPr/>
          <w:p>
            <w:pPr>
              <w:pStyle w:val="Compact"/>
              <w:jc w:val="left"/>
            </w:pPr>
            <w:r>
              <w:t xml:space="preserve">4. Institutional Products</w:t>
            </w:r>
          </w:p>
        </w:tc>
        <w:tc>
          <w:tcPr/>
          <w:p>
            <w:pPr>
              <w:pStyle w:val="Compact"/>
              <w:jc w:val="left"/>
            </w:pPr>
            <w:r>
              <w:t xml:space="preserve">3% avg. allocation; ETP AUM tripled</w:t>
            </w:r>
            <w:r>
              <w:t xml:space="preserve"> </w:t>
            </w:r>
            <w:fldSimple w:instr="NOTEREF _Ref_Footnote_40 \h \f">
              <w:r>
                <w:rPr>
                  <w:vertAlign w:val="superscript"/>
                </w:rPr>
                <w:t>40</w:t>
              </w:r>
            </w:fldSimple>
            <w:r>
              <w:t xml:space="preserve"> </w:t>
            </w:r>
            <w:fldSimple w:instr="NOTEREF _Ref_Footnote_60 \h \f">
              <w:r>
                <w:rPr>
                  <w:vertAlign w:val="superscript"/>
                </w:rPr>
                <w:t>60</w:t>
              </w:r>
            </w:fldSimple>
          </w:p>
        </w:tc>
        <w:tc>
          <w:tcPr/>
          <w:p>
            <w:pPr>
              <w:pStyle w:val="Compact"/>
              <w:jc w:val="left"/>
            </w:pPr>
            <w:r>
              <w:t xml:space="preserve">5–10% allocation standard</w:t>
            </w:r>
          </w:p>
        </w:tc>
        <w:tc>
          <w:tcPr/>
          <w:p>
            <w:pPr>
              <w:pStyle w:val="Compact"/>
              <w:jc w:val="left"/>
            </w:pPr>
            <w:r>
              <w:t xml:space="preserve">MEDIUM-HIGH</w:t>
            </w:r>
          </w:p>
        </w:tc>
        <w:tc>
          <w:tcPr/>
          <w:p>
            <w:pPr>
              <w:pStyle w:val="Compact"/>
              <w:jc w:val="left"/>
            </w:pPr>
            <w:r>
              <w:t xml:space="preserve">Custody providers, ETP issuers</w:t>
            </w:r>
          </w:p>
        </w:tc>
      </w:tr>
      <w:tr>
        <w:tc>
          <w:tcPr/>
          <w:p>
            <w:pPr>
              <w:pStyle w:val="Compact"/>
              <w:jc w:val="left"/>
            </w:pPr>
            <w:r>
              <w:t xml:space="preserve">5. Wealth Protection</w:t>
            </w:r>
          </w:p>
        </w:tc>
        <w:tc>
          <w:tcPr/>
          <w:p>
            <w:pPr>
              <w:pStyle w:val="Compact"/>
              <w:jc w:val="left"/>
            </w:pPr>
            <w:r>
              <w:t xml:space="preserve">46% use crypto as inflation hedge</w:t>
            </w:r>
            <w:r>
              <w:t xml:space="preserve"> </w:t>
            </w:r>
            <w:fldSimple w:instr="NOTEREF _Ref_Footnote_41 \h \f">
              <w:r>
                <w:rPr>
                  <w:vertAlign w:val="superscript"/>
                </w:rPr>
                <w:t>41</w:t>
              </w:r>
            </w:fldSimple>
          </w:p>
        </w:tc>
        <w:tc>
          <w:tcPr/>
          <w:p>
            <w:pPr>
              <w:pStyle w:val="Compact"/>
              <w:jc w:val="left"/>
            </w:pPr>
            <w:r>
              <w:t xml:space="preserve">60%+ by 2028</w:t>
            </w:r>
          </w:p>
        </w:tc>
        <w:tc>
          <w:tcPr/>
          <w:p>
            <w:pPr>
              <w:pStyle w:val="Compact"/>
              <w:jc w:val="left"/>
            </w:pPr>
            <w:r>
              <w:t xml:space="preserve">MEDIUM-HIGH</w:t>
            </w:r>
          </w:p>
        </w:tc>
        <w:tc>
          <w:tcPr/>
          <w:p>
            <w:pPr>
              <w:pStyle w:val="Compact"/>
              <w:jc w:val="left"/>
            </w:pPr>
            <w:r>
              <w:t xml:space="preserve">Savings apps, cold storage, advisory</w:t>
            </w:r>
          </w:p>
        </w:tc>
      </w:tr>
    </w:tbl>
    <w:p>
      <w:pPr>
        <w:pStyle w:val="BodyText"/>
      </w:pPr>
      <w:r>
        <w:rPr>
          <w:bCs/>
          <w:b/>
        </w:rPr>
        <w:t xml:space="preserve">Synthesis.</w:t>
      </w:r>
      <w:r>
        <w:t xml:space="preserve"> </w:t>
      </w:r>
      <w:r>
        <w:t xml:space="preserve">These five trends are not isolated — they form a reinforcing flywheel. MiCA’s regulatory arbitrage (Trend 1) pushes users toward self-custody (Trend 2), which increases demand for Lightning payment rails (Trend 3), which attracts institutional product development (Trend 4), which validates Bitcoin’s role as a wealth preservation asset (Trend 5). European firms that position at the intersection of non-custodial infrastructure and institutional-grade service are projected to capture disproportionate value as this cycle accelerates through 2028.</w:t>
      </w:r>
    </w:p>
    <w:p>
      <w:pPr>
        <w:pStyle w:val="BodyText"/>
      </w:pPr>
      <w:r>
        <w:rPr>
          <w:bCs/>
          <w:b/>
        </w:rPr>
        <w:t xml:space="preserve">Data Sources and Methodology.</w:t>
      </w:r>
      <w:r>
        <w:t xml:space="preserve"> </w:t>
      </w:r>
      <w:r>
        <w:t xml:space="preserve">This analysis synthesizes 25+ independent web searches across primary sources including regulatory filings (ECB, BaFin), industry research (Fidelity Digital Assets, CoinShares, Capgemini, Sygnum), market data providers (Glassnode, CryptoQuant, 1ML), and verified news outlets (CoinDesk, Cointelegraph, Bloomberg). Projections are derived from stated CAGR figures and market sizing data from verified research firms. Confidence ratings reflect source reliability and cross-verification across multiple independent data points.</w:t>
      </w:r>
    </w:p>
    <w:p>
      <w:pPr>
        <w:pStyle w:val="BodyText"/>
      </w:pPr>
      <w:r>
        <w:rPr>
          <w:iCs/>
          <w:i/>
        </w:rPr>
        <w:t xml:space="preserve">Sources cited:</w:t>
      </w:r>
      <w:r>
        <w:rPr>
          <w:iCs/>
          <w:i/>
        </w:rPr>
        <w:t xml:space="preserve"> </w:t>
      </w:r>
      <w:fldSimple w:instr="NOTEREF _Ref_Footnote_10 \h \f">
        <w:r>
          <w:rPr>
            <w:vertAlign w:val="superscript"/>
          </w:rPr>
          <w:t>10</w:t>
        </w:r>
      </w:fldSimple>
      <w:r>
        <w:rPr>
          <w:iCs/>
          <w:i/>
        </w:rPr>
        <w:t xml:space="preserve">,</w:t>
      </w:r>
      <w:r>
        <w:rPr>
          <w:iCs/>
          <w:i/>
        </w:rPr>
        <w:t xml:space="preserve"> </w:t>
      </w:r>
      <w:fldSimple w:instr="NOTEREF _Ref_Footnote_29 \h \f">
        <w:r>
          <w:rPr>
            <w:vertAlign w:val="superscript"/>
          </w:rPr>
          <w:t>29</w:t>
        </w:r>
      </w:fldSimple>
      <w:r>
        <w:rPr>
          <w:iCs/>
          <w:i/>
        </w:rPr>
        <w:t xml:space="preserve">,</w:t>
      </w:r>
      <w:r>
        <w:rPr>
          <w:iCs/>
          <w:i/>
        </w:rPr>
        <w:t xml:space="preserve"> </w:t>
      </w:r>
      <w:fldSimple w:instr="NOTEREF _Ref_Footnote_1 \h \f">
        <w:r>
          <w:rPr>
            <w:vertAlign w:val="superscript"/>
          </w:rPr>
          <w:t>1</w:t>
        </w:r>
      </w:fldSimple>
      <w:r>
        <w:rPr>
          <w:iCs/>
          <w:i/>
        </w:rPr>
        <w:t xml:space="preserve">,</w:t>
      </w:r>
      <w:r>
        <w:rPr>
          <w:iCs/>
          <w:i/>
        </w:rPr>
        <w:t xml:space="preserve"> </w:t>
      </w:r>
      <w:fldSimple w:instr="NOTEREF _Ref_Footnote_7 \h \f">
        <w:r>
          <w:rPr>
            <w:vertAlign w:val="superscript"/>
          </w:rPr>
          <w:t>7</w:t>
        </w:r>
      </w:fldSimple>
      <w:r>
        <w:rPr>
          <w:iCs/>
          <w:i/>
        </w:rPr>
        <w:t xml:space="preserve">,</w:t>
      </w:r>
      <w:r>
        <w:rPr>
          <w:iCs/>
          <w:i/>
        </w:rPr>
        <w:t xml:space="preserve"> </w:t>
      </w:r>
      <w:fldSimple w:instr="NOTEREF _Ref_Footnote_30 \h \f">
        <w:r>
          <w:rPr>
            <w:vertAlign w:val="superscript"/>
          </w:rPr>
          <w:t>30</w:t>
        </w:r>
      </w:fldSimple>
      <w:r>
        <w:rPr>
          <w:iCs/>
          <w:i/>
        </w:rPr>
        <w:t xml:space="preserve">,</w:t>
      </w:r>
      <w:r>
        <w:rPr>
          <w:iCs/>
          <w:i/>
        </w:rPr>
        <w:t xml:space="preserve"> </w:t>
      </w:r>
      <w:fldSimple w:instr="NOTEREF _Ref_Footnote_27 \h \f">
        <w:r>
          <w:rPr>
            <w:vertAlign w:val="superscript"/>
          </w:rPr>
          <w:t>27</w:t>
        </w:r>
      </w:fldSimple>
      <w:r>
        <w:rPr>
          <w:iCs/>
          <w:i/>
        </w:rPr>
        <w:t xml:space="preserve">,</w:t>
      </w:r>
      <w:r>
        <w:rPr>
          <w:iCs/>
          <w:i/>
        </w:rPr>
        <w:t xml:space="preserve"> </w:t>
      </w:r>
      <w:fldSimple w:instr="NOTEREF _Ref_Footnote_51 \h \f">
        <w:r>
          <w:rPr>
            <w:vertAlign w:val="superscript"/>
          </w:rPr>
          <w:t>51</w:t>
        </w:r>
      </w:fldSimple>
      <w:r>
        <w:rPr>
          <w:iCs/>
          <w:i/>
        </w:rPr>
        <w:t xml:space="preserve">,</w:t>
      </w:r>
      <w:r>
        <w:rPr>
          <w:iCs/>
          <w:i/>
        </w:rPr>
        <w:t xml:space="preserve"> </w:t>
      </w:r>
      <w:fldSimple w:instr="NOTEREF _Ref_Footnote_35 \h \f">
        <w:r>
          <w:rPr>
            <w:vertAlign w:val="superscript"/>
          </w:rPr>
          <w:t>35</w:t>
        </w:r>
      </w:fldSimple>
      <w:r>
        <w:rPr>
          <w:iCs/>
          <w:i/>
        </w:rPr>
        <w:t xml:space="preserve">,</w:t>
      </w:r>
      <w:r>
        <w:rPr>
          <w:iCs/>
          <w:i/>
        </w:rPr>
        <w:t xml:space="preserve"> </w:t>
      </w:r>
      <w:fldSimple w:instr="NOTEREF _Ref_Footnote_47 \h \f">
        <w:r>
          <w:rPr>
            <w:vertAlign w:val="superscript"/>
          </w:rPr>
          <w:t>47</w:t>
        </w:r>
      </w:fldSimple>
      <w:r>
        <w:rPr>
          <w:iCs/>
          <w:i/>
        </w:rPr>
        <w:t xml:space="preserve">,</w:t>
      </w:r>
      <w:r>
        <w:rPr>
          <w:iCs/>
          <w:i/>
        </w:rPr>
        <w:t xml:space="preserve"> </w:t>
      </w:r>
      <w:fldSimple w:instr="NOTEREF _Ref_Footnote_43 \h \f">
        <w:r>
          <w:rPr>
            <w:vertAlign w:val="superscript"/>
          </w:rPr>
          <w:t>43</w:t>
        </w:r>
      </w:fldSimple>
      <w:r>
        <w:rPr>
          <w:iCs/>
          <w:i/>
        </w:rPr>
        <w:t xml:space="preserve">,</w:t>
      </w:r>
      <w:r>
        <w:rPr>
          <w:iCs/>
          <w:i/>
        </w:rPr>
        <w:t xml:space="preserve"> </w:t>
      </w:r>
      <w:fldSimple w:instr="NOTEREF _Ref_Footnote_52 \h \f">
        <w:r>
          <w:rPr>
            <w:vertAlign w:val="superscript"/>
          </w:rPr>
          <w:t>52</w:t>
        </w:r>
      </w:fldSimple>
      <w:r>
        <w:rPr>
          <w:iCs/>
          <w:i/>
        </w:rPr>
        <w:t xml:space="preserve">,</w:t>
      </w:r>
      <w:r>
        <w:rPr>
          <w:iCs/>
          <w:i/>
        </w:rPr>
        <w:t xml:space="preserve"> </w:t>
      </w:r>
      <w:fldSimple w:instr="NOTEREF _Ref_Footnote_3 \h \f">
        <w:r>
          <w:rPr>
            <w:vertAlign w:val="superscript"/>
          </w:rPr>
          <w:t>3</w:t>
        </w:r>
      </w:fldSimple>
      <w:r>
        <w:rPr>
          <w:iCs/>
          <w:i/>
        </w:rPr>
        <w:t xml:space="preserve">,</w:t>
      </w:r>
      <w:r>
        <w:rPr>
          <w:iCs/>
          <w:i/>
        </w:rPr>
        <w:t xml:space="preserve"> </w:t>
      </w:r>
      <w:fldSimple w:instr="NOTEREF _Ref_Footnote_57 \h \f">
        <w:r>
          <w:rPr>
            <w:vertAlign w:val="superscript"/>
          </w:rPr>
          <w:t>57</w:t>
        </w:r>
      </w:fldSimple>
      <w:r>
        <w:rPr>
          <w:iCs/>
          <w:i/>
        </w:rPr>
        <w:t xml:space="preserve">,</w:t>
      </w:r>
      <w:r>
        <w:rPr>
          <w:iCs/>
          <w:i/>
        </w:rPr>
        <w:t xml:space="preserve"> </w:t>
      </w:r>
      <w:fldSimple w:instr="NOTEREF _Ref_Footnote_65 \h \f">
        <w:r>
          <w:rPr>
            <w:vertAlign w:val="superscript"/>
          </w:rPr>
          <w:t>65</w:t>
        </w:r>
      </w:fldSimple>
      <w:r>
        <w:rPr>
          <w:iCs/>
          <w:i/>
        </w:rPr>
        <w:t xml:space="preserve">,</w:t>
      </w:r>
      <w:r>
        <w:rPr>
          <w:iCs/>
          <w:i/>
        </w:rPr>
        <w:t xml:space="preserve"> </w:t>
      </w:r>
      <w:fldSimple w:instr="NOTEREF _Ref_Footnote_40 \h \f">
        <w:r>
          <w:rPr>
            <w:vertAlign w:val="superscript"/>
          </w:rPr>
          <w:t>40</w:t>
        </w:r>
      </w:fldSimple>
      <w:r>
        <w:rPr>
          <w:iCs/>
          <w:i/>
        </w:rPr>
        <w:t xml:space="preserve">,</w:t>
      </w:r>
      <w:r>
        <w:rPr>
          <w:iCs/>
          <w:i/>
        </w:rPr>
        <w:t xml:space="preserve"> </w:t>
      </w:r>
      <w:fldSimple w:instr="NOTEREF _Ref_Footnote_62 \h \f">
        <w:r>
          <w:rPr>
            <w:vertAlign w:val="superscript"/>
          </w:rPr>
          <w:t>62</w:t>
        </w:r>
      </w:fldSimple>
      <w:r>
        <w:rPr>
          <w:iCs/>
          <w:i/>
        </w:rPr>
        <w:t xml:space="preserve">,</w:t>
      </w:r>
      <w:r>
        <w:rPr>
          <w:iCs/>
          <w:i/>
        </w:rPr>
        <w:t xml:space="preserve"> </w:t>
      </w:r>
      <w:fldSimple w:instr="NOTEREF _Ref_Footnote_42 \h \f">
        <w:r>
          <w:rPr>
            <w:vertAlign w:val="superscript"/>
          </w:rPr>
          <w:t>42</w:t>
        </w:r>
      </w:fldSimple>
      <w:r>
        <w:rPr>
          <w:iCs/>
          <w:i/>
        </w:rPr>
        <w:t xml:space="preserve">,</w:t>
      </w:r>
      <w:r>
        <w:rPr>
          <w:iCs/>
          <w:i/>
        </w:rPr>
        <w:t xml:space="preserve"> </w:t>
      </w:r>
      <w:fldSimple w:instr="NOTEREF _Ref_Footnote_58 \h \f">
        <w:r>
          <w:rPr>
            <w:vertAlign w:val="superscript"/>
          </w:rPr>
          <w:t>58</w:t>
        </w:r>
      </w:fldSimple>
      <w:r>
        <w:rPr>
          <w:iCs/>
          <w:i/>
        </w:rPr>
        <w:t xml:space="preserve">,</w:t>
      </w:r>
      <w:r>
        <w:rPr>
          <w:iCs/>
          <w:i/>
        </w:rPr>
        <w:t xml:space="preserve"> </w:t>
      </w:r>
      <w:fldSimple w:instr="NOTEREF _Ref_Footnote_59 \h \f">
        <w:r>
          <w:rPr>
            <w:vertAlign w:val="superscript"/>
          </w:rPr>
          <w:t>59</w:t>
        </w:r>
      </w:fldSimple>
      <w:r>
        <w:rPr>
          <w:iCs/>
          <w:i/>
        </w:rPr>
        <w:t xml:space="preserve">,</w:t>
      </w:r>
      <w:r>
        <w:rPr>
          <w:iCs/>
          <w:i/>
        </w:rPr>
        <w:t xml:space="preserve"> </w:t>
      </w:r>
      <w:fldSimple w:instr="NOTEREF _Ref_Footnote_49 \h \f">
        <w:r>
          <w:rPr>
            <w:vertAlign w:val="superscript"/>
          </w:rPr>
          <w:t>49</w:t>
        </w:r>
      </w:fldSimple>
      <w:r>
        <w:rPr>
          <w:iCs/>
          <w:i/>
        </w:rPr>
        <w:t xml:space="preserve">,</w:t>
      </w:r>
      <w:r>
        <w:rPr>
          <w:iCs/>
          <w:i/>
        </w:rPr>
        <w:t xml:space="preserve"> </w:t>
      </w:r>
      <w:fldSimple w:instr="NOTEREF _Ref_Footnote_48 \h \f">
        <w:r>
          <w:rPr>
            <w:vertAlign w:val="superscript"/>
          </w:rPr>
          <w:t>48</w:t>
        </w:r>
      </w:fldSimple>
      <w:r>
        <w:rPr>
          <w:iCs/>
          <w:i/>
        </w:rPr>
        <w:t xml:space="preserve">,</w:t>
      </w:r>
      <w:r>
        <w:rPr>
          <w:iCs/>
          <w:i/>
        </w:rPr>
        <w:t xml:space="preserve"> </w:t>
      </w:r>
      <w:fldSimple w:instr="NOTEREF _Ref_Footnote_39 \h \f">
        <w:r>
          <w:rPr>
            <w:vertAlign w:val="superscript"/>
          </w:rPr>
          <w:t>39</w:t>
        </w:r>
      </w:fldSimple>
      <w:r>
        <w:rPr>
          <w:iCs/>
          <w:i/>
        </w:rPr>
        <w:t xml:space="preserve">,</w:t>
      </w:r>
      <w:r>
        <w:rPr>
          <w:iCs/>
          <w:i/>
        </w:rPr>
        <w:t xml:space="preserve"> </w:t>
      </w:r>
      <w:fldSimple w:instr="NOTEREF _Ref_Footnote_60 \h \f">
        <w:r>
          <w:rPr>
            <w:vertAlign w:val="superscript"/>
          </w:rPr>
          <w:t>60</w:t>
        </w:r>
      </w:fldSimple>
      <w:r>
        <w:rPr>
          <w:iCs/>
          <w:i/>
        </w:rPr>
        <w:t xml:space="preserve">,</w:t>
      </w:r>
      <w:r>
        <w:rPr>
          <w:iCs/>
          <w:i/>
        </w:rPr>
        <w:t xml:space="preserve"> </w:t>
      </w:r>
      <w:fldSimple w:instr="NOTEREF _Ref_Footnote_44 \h \f">
        <w:r>
          <w:rPr>
            <w:vertAlign w:val="superscript"/>
          </w:rPr>
          <w:t>44</w:t>
        </w:r>
      </w:fldSimple>
      <w:r>
        <w:rPr>
          <w:iCs/>
          <w:i/>
        </w:rPr>
        <w:t xml:space="preserve">,</w:t>
      </w:r>
      <w:r>
        <w:rPr>
          <w:iCs/>
          <w:i/>
        </w:rPr>
        <w:t xml:space="preserve"> </w:t>
      </w:r>
      <w:fldSimple w:instr="NOTEREF _Ref_Footnote_50 \h \f">
        <w:r>
          <w:rPr>
            <w:vertAlign w:val="superscript"/>
          </w:rPr>
          <w:t>50</w:t>
        </w:r>
      </w:fldSimple>
      <w:r>
        <w:rPr>
          <w:iCs/>
          <w:i/>
        </w:rPr>
        <w:t xml:space="preserve">,</w:t>
      </w:r>
      <w:r>
        <w:rPr>
          <w:iCs/>
          <w:i/>
        </w:rPr>
        <w:t xml:space="preserve"> </w:t>
      </w:r>
      <w:fldSimple w:instr="NOTEREF _Ref_Footnote_45 \h \f">
        <w:r>
          <w:rPr>
            <w:vertAlign w:val="superscript"/>
          </w:rPr>
          <w:t>45</w:t>
        </w:r>
      </w:fldSimple>
      <w:r>
        <w:rPr>
          <w:iCs/>
          <w:i/>
        </w:rPr>
        <w:t xml:space="preserve">,</w:t>
      </w:r>
      <w:r>
        <w:rPr>
          <w:iCs/>
          <w:i/>
        </w:rPr>
        <w:t xml:space="preserve"> </w:t>
      </w:r>
      <w:fldSimple w:instr="NOTEREF _Ref_Footnote_46 \h \f">
        <w:r>
          <w:rPr>
            <w:vertAlign w:val="superscript"/>
          </w:rPr>
          <w:t>46</w:t>
        </w:r>
      </w:fldSimple>
      <w:r>
        <w:rPr>
          <w:iCs/>
          <w:i/>
        </w:rPr>
        <w:t xml:space="preserve">,</w:t>
      </w:r>
      <w:r>
        <w:rPr>
          <w:iCs/>
          <w:i/>
        </w:rPr>
        <w:t xml:space="preserve"> </w:t>
      </w:r>
      <w:fldSimple w:instr="NOTEREF _Ref_Footnote_64 \h \f">
        <w:r>
          <w:rPr>
            <w:vertAlign w:val="superscript"/>
          </w:rPr>
          <w:t>64</w:t>
        </w:r>
      </w:fldSimple>
      <w:r>
        <w:rPr>
          <w:iCs/>
          <w:i/>
        </w:rPr>
        <w:t xml:space="preserve">,</w:t>
      </w:r>
      <w:r>
        <w:rPr>
          <w:iCs/>
          <w:i/>
        </w:rPr>
        <w:t xml:space="preserve"> </w:t>
      </w:r>
      <w:fldSimple w:instr="NOTEREF _Ref_Footnote_68 \h \f">
        <w:r>
          <w:rPr>
            <w:vertAlign w:val="superscript"/>
          </w:rPr>
          <w:t>68</w:t>
        </w:r>
      </w:fldSimple>
      <w:r>
        <w:rPr>
          <w:iCs/>
          <w:i/>
        </w:rPr>
        <w:t xml:space="preserve">,</w:t>
      </w:r>
      <w:r>
        <w:rPr>
          <w:iCs/>
          <w:i/>
        </w:rPr>
        <w:t xml:space="preserve"> </w:t>
      </w:r>
      <w:fldSimple w:instr="NOTEREF _Ref_Footnote_41 \h \f">
        <w:r>
          <w:rPr>
            <w:vertAlign w:val="superscript"/>
          </w:rPr>
          <w:t>41</w:t>
        </w:r>
      </w:fldSimple>
      <w:r>
        <w:rPr>
          <w:iCs/>
          <w:i/>
        </w:rPr>
        <w:t xml:space="preserve">,</w:t>
      </w:r>
      <w:r>
        <w:rPr>
          <w:iCs/>
          <w:i/>
        </w:rPr>
        <w:t xml:space="preserve"> </w:t>
      </w:r>
      <w:fldSimple w:instr="NOTEREF _Ref_Footnote_66 \h \f">
        <w:r>
          <w:rPr>
            <w:vertAlign w:val="superscript"/>
          </w:rPr>
          <w:t>66</w:t>
        </w:r>
      </w:fldSimple>
      <w:r>
        <w:rPr>
          <w:iCs/>
          <w:i/>
        </w:rPr>
        <w:t xml:space="preserve">,</w:t>
      </w:r>
      <w:r>
        <w:rPr>
          <w:iCs/>
          <w:i/>
        </w:rPr>
        <w:t xml:space="preserve"> </w:t>
      </w:r>
      <w:fldSimple w:instr="NOTEREF _Ref_Footnote_54 \h \f">
        <w:r>
          <w:rPr>
            <w:vertAlign w:val="superscript"/>
          </w:rPr>
          <w:t>54</w:t>
        </w:r>
      </w:fldSimple>
      <w:r>
        <w:rPr>
          <w:iCs/>
          <w:i/>
        </w:rPr>
        <w:t xml:space="preserve">,</w:t>
      </w:r>
      <w:r>
        <w:rPr>
          <w:iCs/>
          <w:i/>
        </w:rPr>
        <w:t xml:space="preserve"> </w:t>
      </w:r>
      <w:fldSimple w:instr="NOTEREF _Ref_Footnote_61 \h \f">
        <w:r>
          <w:rPr>
            <w:vertAlign w:val="superscript"/>
          </w:rPr>
          <w:t>61</w:t>
        </w:r>
      </w:fldSimple>
    </w:p>
    <w:bookmarkEnd w:id="45"/>
    <w:bookmarkEnd w:id="46"/>
    <w:bookmarkEnd w:id="47"/>
    <w:bookmarkStart w:id="79" w:name="five-underserved-opportunities"/>
    <w:p>
      <w:pPr>
        <w:pStyle w:val="Heading1"/>
      </w:pPr>
      <w:r>
        <w:t xml:space="preserve">3. Five Underserved Opportunities</w:t>
      </w:r>
    </w:p>
    <w:p>
      <w:pPr>
        <w:pStyle w:val="FirstParagraph"/>
      </w:pPr>
      <w:r>
        <w:rPr>
          <w:bCs/>
          <w:b/>
        </w:rPr>
        <w:t xml:space="preserve">Chapter Summary</w:t>
      </w:r>
      <w:r>
        <w:t xml:space="preserve">: Five structurally underserved market segments represent an aggregate EUR 2-4 billion in latent demand for Bitcoin-only services in Europe. Each opportunity is characterized by a supply-demand mismatch: strong evidence of unmet demand, near-zero Bitcoin-only competition at scale, and structural barriers that multi-crypto incumbents cannot easily overcome. The five opportunities are interconnected — education creates advisory talent for wealth management, wealth management clients need inheritance and lending services, and remittances serve as an HNWI onboarding pathway.</w:t>
      </w:r>
    </w:p>
    <w:p>
      <w:r>
        <w:pict>
          <v:rect style="width:0;height:1.5pt" o:hralign="center" o:hrstd="t" o:hr="t"/>
        </w:pict>
      </w:r>
    </w:p>
    <w:bookmarkStart w:id="53" w:name="Xed161f459a17e1ed1b8806a585444160e94667d"/>
    <w:p>
      <w:pPr>
        <w:pStyle w:val="Heading2"/>
      </w:pPr>
      <w:r>
        <w:t xml:space="preserve">3.1 Opportunity 1: Bitcoin-Only Wealth Management for HNWIs and Family Offices</w:t>
      </w:r>
    </w:p>
    <w:bookmarkStart w:id="48" w:name="gap-description"/>
    <w:p>
      <w:pPr>
        <w:pStyle w:val="Heading3"/>
      </w:pPr>
      <w:r>
        <w:t xml:space="preserve">Gap Description</w:t>
      </w:r>
    </w:p>
    <w:p>
      <w:pPr>
        <w:pStyle w:val="FirstParagraph"/>
      </w:pPr>
      <w:r>
        <w:t xml:space="preserve">There is virtually no dedicated Bitcoin-only wealth management service for European high-net-worth individuals (HNWIs) and family offices at scale. Existing offerings fall into two inadequate categories: multi-crypto exchanges with OTC desks offering 300+ assets with no Bitcoin-specific advisory depth</w:t>
      </w:r>
      <w:r>
        <w:t xml:space="preserve"> </w:t>
      </w:r>
      <w:r>
        <w:rPr>
          <w:vertAlign w:val="superscript"/>
        </w:rPr>
        <w:footnoteReference w:id="69"/>
      </w:r>
      <w:r>
        <w:t xml:space="preserve">, and traditional private banks offering only indirect crypto exposure through equity strategies rather than direct Bitcoin holdings</w:t>
      </w:r>
      <w:r>
        <w:t xml:space="preserve"> </w:t>
      </w:r>
      <w:r>
        <w:rPr>
          <w:vertAlign w:val="superscript"/>
        </w:rPr>
        <w:footnoteReference w:id="70"/>
      </w:r>
      <w:r>
        <w:t xml:space="preserve">. European family offices rank cryptocurrency 7th out of 9 asset classes for risk-adjusted returns — below cash and bonds — reflecting a fundamental advisory gap where traditional wealth managers lack Bitcoin expertise</w:t>
      </w:r>
      <w:r>
        <w:t xml:space="preserve"> </w:t>
      </w:r>
      <w:r>
        <w:rPr>
          <w:vertAlign w:val="superscript"/>
        </w:rPr>
        <w:footnoteReference w:id="71"/>
      </w:r>
      <w:r>
        <w:t xml:space="preserve">.</w:t>
      </w:r>
    </w:p>
    <w:bookmarkEnd w:id="48"/>
    <w:bookmarkStart w:id="49" w:name="addressable-market-size"/>
    <w:p>
      <w:pPr>
        <w:pStyle w:val="Heading3"/>
      </w:pPr>
      <w:r>
        <w:t xml:space="preserve">Addressable Market Size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European HNWI wealth under management</w:t>
            </w:r>
          </w:p>
        </w:tc>
        <w:tc>
          <w:tcPr/>
          <w:p>
            <w:pPr>
              <w:pStyle w:val="Compact"/>
              <w:jc w:val="left"/>
            </w:pPr>
            <w:r>
              <w:t xml:space="preserve">EUR 15-20 trillion</w:t>
            </w:r>
          </w:p>
        </w:tc>
        <w:tc>
          <w:tcPr/>
          <w:p>
            <w:pPr>
              <w:pStyle w:val="Compact"/>
              <w:jc w:val="left"/>
            </w:pPr>
            <w:fldSimple w:instr="NOTEREF _Ref_Footnote_71 \h \f">
              <w:r>
                <w:rPr>
                  <w:vertAlign w:val="superscript"/>
                </w:rPr>
                <w:t>71</w:t>
              </w:r>
            </w:fldSimple>
          </w:p>
        </w:tc>
      </w:tr>
      <w:tr>
        <w:tc>
          <w:tcPr/>
          <w:p>
            <w:pPr>
              <w:pStyle w:val="Compact"/>
              <w:jc w:val="left"/>
            </w:pPr>
            <w:r>
              <w:t xml:space="preserve">Current European family office crypto allocation</w:t>
            </w:r>
          </w:p>
        </w:tc>
        <w:tc>
          <w:tcPr/>
          <w:p>
            <w:pPr>
              <w:pStyle w:val="Compact"/>
              <w:jc w:val="left"/>
            </w:pPr>
            <w:r>
              <w:t xml:space="preserve">~1% of AUM (lowest globally)</w:t>
            </w:r>
          </w:p>
        </w:tc>
        <w:tc>
          <w:tcPr/>
          <w:p>
            <w:pPr>
              <w:pStyle w:val="Compact"/>
              <w:jc w:val="left"/>
            </w:pPr>
            <w:fldSimple w:instr="NOTEREF _Ref_Footnote_71 \h \f">
              <w:r>
                <w:rPr>
                  <w:vertAlign w:val="superscript"/>
                </w:rPr>
                <w:t>71</w:t>
              </w:r>
            </w:fldSimple>
          </w:p>
        </w:tc>
      </w:tr>
      <w:tr>
        <w:tc>
          <w:tcPr/>
          <w:p>
            <w:pPr>
              <w:pStyle w:val="Compact"/>
              <w:jc w:val="left"/>
            </w:pPr>
            <w:r>
              <w:t xml:space="preserve">Projected allocation increase (1% → 3%)</w:t>
            </w:r>
          </w:p>
        </w:tc>
        <w:tc>
          <w:tcPr/>
          <w:p>
            <w:pPr>
              <w:pStyle w:val="Compact"/>
              <w:jc w:val="left"/>
            </w:pPr>
            <w:r>
              <w:t xml:space="preserve">EUR 150-600M in new Bitcoin allocation</w:t>
            </w:r>
          </w:p>
        </w:tc>
        <w:tc>
          <w:tcPr/>
          <w:p>
            <w:pPr>
              <w:pStyle w:val="Compact"/>
              <w:jc w:val="left"/>
            </w:pPr>
            <w:fldSimple w:instr="NOTEREF _Ref_Footnote_71 \h \f">
              <w:r>
                <w:rPr>
                  <w:vertAlign w:val="superscript"/>
                </w:rPr>
                <w:t>71</w:t>
              </w:r>
            </w:fldSimple>
          </w:p>
        </w:tc>
      </w:tr>
      <w:tr>
        <w:tc>
          <w:tcPr/>
          <w:p>
            <w:pPr>
              <w:pStyle w:val="Compact"/>
              <w:jc w:val="left"/>
            </w:pPr>
            <w:r>
              <w:rPr>
                <w:bCs/>
                <w:b/>
              </w:rPr>
              <w:t xml:space="preserve">Serviceable addressable market (advisory fees at 0.5-1.0%)</w:t>
            </w:r>
          </w:p>
        </w:tc>
        <w:tc>
          <w:tcPr/>
          <w:p>
            <w:pPr>
              <w:pStyle w:val="Compact"/>
              <w:jc w:val="left"/>
            </w:pPr>
            <w:r>
              <w:rPr>
                <w:bCs/>
                <w:b/>
              </w:rPr>
              <w:t xml:space="preserve">EUR 75-300M annually</w:t>
            </w:r>
          </w:p>
        </w:tc>
        <w:tc>
          <w:tcPr/>
          <w:p>
            <w:pPr>
              <w:pStyle w:val="Compact"/>
              <w:jc w:val="left"/>
            </w:pPr>
            <w:fldSimple w:instr="NOTEREF _Ref_Footnote_71 \h \f">
              <w:r>
                <w:rPr>
                  <w:vertAlign w:val="superscript"/>
                </w:rPr>
                <w:t>71</w:t>
              </w:r>
            </w:fldSimple>
            <w:r>
              <w:t xml:space="preserve"> </w:t>
            </w:r>
            <w:r>
              <w:rPr>
                <w:vertAlign w:val="superscript"/>
              </w:rPr>
              <w:footnoteReference w:id="72"/>
            </w:r>
          </w:p>
        </w:tc>
      </w:tr>
      <w:tr>
        <w:tc>
          <w:tcPr/>
          <w:p>
            <w:pPr>
              <w:pStyle w:val="Compact"/>
              <w:jc w:val="left"/>
            </w:pPr>
            <w:r>
              <w:t xml:space="preserve">EMEA family offices currently invested in crypto</w:t>
            </w:r>
          </w:p>
        </w:tc>
        <w:tc>
          <w:tcPr/>
          <w:p>
            <w:pPr>
              <w:pStyle w:val="Compact"/>
              <w:jc w:val="left"/>
            </w:pPr>
            <w:r>
              <w:t xml:space="preserve">25% (vs. 37% Americas, 35% APAC)</w:t>
            </w:r>
          </w:p>
        </w:tc>
        <w:tc>
          <w:tcPr/>
          <w:p>
            <w:pPr>
              <w:pStyle w:val="Compact"/>
              <w:jc w:val="left"/>
            </w:pPr>
            <w:fldSimple w:instr="NOTEREF _Ref_Footnote_72 \h \f">
              <w:r>
                <w:rPr>
                  <w:vertAlign w:val="superscript"/>
                </w:rPr>
                <w:t>72</w:t>
              </w:r>
            </w:fldSimple>
          </w:p>
        </w:tc>
      </w:tr>
      <w:tr>
        <w:tc>
          <w:tcPr/>
          <w:p>
            <w:pPr>
              <w:pStyle w:val="Compact"/>
              <w:jc w:val="left"/>
            </w:pPr>
            <w:r>
              <w:rPr>
                <w:bCs/>
                <w:b/>
              </w:rPr>
              <w:t xml:space="preserve">Latent demand gap</w:t>
            </w:r>
          </w:p>
        </w:tc>
        <w:tc>
          <w:tcPr/>
          <w:p>
            <w:pPr>
              <w:pStyle w:val="Compact"/>
              <w:jc w:val="left"/>
            </w:pPr>
            <w:r>
              <w:rPr>
                <w:bCs/>
                <w:b/>
              </w:rPr>
              <w:t xml:space="preserve">EUR 200-400M</w:t>
            </w:r>
          </w:p>
        </w:tc>
        <w:tc>
          <w:tcPr/>
          <w:p>
            <w:pPr>
              <w:pStyle w:val="Compact"/>
              <w:jc w:val="left"/>
            </w:pPr>
            <w:fldSimple w:instr="NOTEREF _Ref_Footnote_72 \h \f">
              <w:r>
                <w:rPr>
                  <w:vertAlign w:val="superscript"/>
                </w:rPr>
                <w:t>72</w:t>
              </w:r>
            </w:fldSimple>
          </w:p>
        </w:tc>
      </w:tr>
    </w:tbl>
    <w:bookmarkEnd w:id="49"/>
    <w:bookmarkStart w:id="50" w:name="evidence-of-demand"/>
    <w:p>
      <w:pPr>
        <w:pStyle w:val="Heading3"/>
      </w:pPr>
      <w:r>
        <w:t xml:space="preserve">Evidence of Demand</w:t>
      </w:r>
    </w:p>
    <w:p>
      <w:pPr>
        <w:numPr>
          <w:ilvl w:val="0"/>
          <w:numId w:val="1022"/>
        </w:numPr>
        <w:pStyle w:val="Compact"/>
      </w:pPr>
      <w:r>
        <w:rPr>
          <w:bCs/>
          <w:b/>
        </w:rPr>
        <w:t xml:space="preserve">74% of family offices globally</w:t>
      </w:r>
      <w:r>
        <w:t xml:space="preserve"> </w:t>
      </w:r>
      <w:r>
        <w:t xml:space="preserve">are now exploring or actively invested in digital assets (up from 53% in 2024), yet European adoption at</w:t>
      </w:r>
      <w:r>
        <w:t xml:space="preserve"> </w:t>
      </w:r>
      <w:r>
        <w:rPr>
          <w:bCs/>
          <w:b/>
        </w:rPr>
        <w:t xml:space="preserve">14% is the lowest of any region</w:t>
      </w:r>
      <w:r>
        <w:t xml:space="preserve"> </w:t>
      </w:r>
      <w:r>
        <w:t xml:space="preserve">(vs. 28% Asia-Pacific, 16% North America)</w:t>
      </w:r>
      <w:r>
        <w:t xml:space="preserve"> </w:t>
      </w:r>
      <w:fldSimple w:instr="NOTEREF _Ref_Footnote_71 \h \f">
        <w:r>
          <w:rPr>
            <w:vertAlign w:val="superscript"/>
          </w:rPr>
          <w:t>71</w:t>
        </w:r>
      </w:fldSimple>
      <w:r>
        <w:t xml:space="preserve"> </w:t>
      </w:r>
      <w:fldSimple w:instr="NOTEREF _Ref_Footnote_60 \h \f">
        <w:r>
          <w:rPr>
            <w:vertAlign w:val="superscript"/>
          </w:rPr>
          <w:t>60</w:t>
        </w:r>
      </w:fldSimple>
      <w:r>
        <w:t xml:space="preserve">-</w:t>
      </w:r>
      <w:r>
        <w:t xml:space="preserve"> </w:t>
      </w:r>
      <w:r>
        <w:rPr>
          <w:bCs/>
          <w:b/>
        </w:rPr>
        <w:t xml:space="preserve">41% of family offices</w:t>
      </w:r>
      <w:r>
        <w:t xml:space="preserve"> </w:t>
      </w:r>
      <w:r>
        <w:t xml:space="preserve">cite</w:t>
      </w:r>
      <w:r>
        <w:t xml:space="preserve"> </w:t>
      </w:r>
      <w:r>
        <w:t xml:space="preserve">“</w:t>
      </w:r>
      <w:r>
        <w:t xml:space="preserve">interest from successors</w:t>
      </w:r>
      <w:r>
        <w:t xml:space="preserve">”</w:t>
      </w:r>
      <w:r>
        <w:t xml:space="preserve"> </w:t>
      </w:r>
      <w:r>
        <w:t xml:space="preserve">(next-generation heirs) as a primary driver for crypto exploration — existing advisors cannot bridge the knowledge gap</w:t>
      </w:r>
      <w:r>
        <w:t xml:space="preserve"> </w:t>
      </w:r>
      <w:fldSimple w:instr="NOTEREF _Ref_Footnote_60 \h \f">
        <w:r>
          <w:rPr>
            <w:vertAlign w:val="superscript"/>
          </w:rPr>
          <w:t>60</w:t>
        </w:r>
      </w:fldSimple>
      <w:r>
        <w:t xml:space="preserve">-</w:t>
      </w:r>
      <w:r>
        <w:t xml:space="preserve"> </w:t>
      </w:r>
      <w:r>
        <w:rPr>
          <w:bCs/>
          <w:b/>
        </w:rPr>
        <w:t xml:space="preserve">58% of family offices</w:t>
      </w:r>
      <w:r>
        <w:t xml:space="preserve"> </w:t>
      </w:r>
      <w:r>
        <w:t xml:space="preserve">considering digital assets are undecided about which investment vehicles to explore, highlighting a massive advice gap</w:t>
      </w:r>
      <w:r>
        <w:t xml:space="preserve"> </w:t>
      </w:r>
      <w:r>
        <w:rPr>
          <w:vertAlign w:val="superscript"/>
        </w:rPr>
        <w:footnoteReference w:id="73"/>
      </w:r>
      <w:r>
        <w:t xml:space="preserve">- Bitpanda launched Bitpanda Wealth in January 2024 targeting HNWIs and family offices, validating demand — but offers 300+ digital assets rather than Bitcoin-only expertise</w:t>
      </w:r>
      <w:r>
        <w:t xml:space="preserve"> </w:t>
      </w:r>
      <w:fldSimple w:instr="NOTEREF _Ref_Footnote_69 \h \f">
        <w:r>
          <w:rPr>
            <w:vertAlign w:val="superscript"/>
          </w:rPr>
          <w:t>69</w:t>
        </w:r>
      </w:fldSimple>
      <w:r>
        <w:t xml:space="preserve">- Relai identified HNWIs as their fastest-growing segment, with plans for</w:t>
      </w:r>
      <w:r>
        <w:t xml:space="preserve"> </w:t>
      </w:r>
      <w:r>
        <w:t xml:space="preserve">“</w:t>
      </w:r>
      <w:r>
        <w:t xml:space="preserve">360-degree service portfolio</w:t>
      </w:r>
      <w:r>
        <w:t xml:space="preserve">”</w:t>
      </w:r>
      <w:r>
        <w:t xml:space="preserve"> </w:t>
      </w:r>
      <w:r>
        <w:t xml:space="preserve">including tax, inheritance, and lending services</w:t>
      </w:r>
      <w:r>
        <w:t xml:space="preserve"> </w:t>
      </w:r>
      <w:r>
        <w:rPr>
          <w:vertAlign w:val="superscript"/>
        </w:rPr>
        <w:footnoteReference w:id="74"/>
      </w:r>
      <w:r>
        <w:t xml:space="preserve">- European family office crypto allocation at ~1% is the</w:t>
      </w:r>
      <w:r>
        <w:t xml:space="preserve"> </w:t>
      </w:r>
      <w:r>
        <w:rPr>
          <w:bCs/>
          <w:b/>
        </w:rPr>
        <w:t xml:space="preserve">lowest regional allocation globally</w:t>
      </w:r>
      <w:r>
        <w:t xml:space="preserve">, despite Europe holding EUR 15-20 trillion in HNWI assets</w:t>
      </w:r>
      <w:r>
        <w:t xml:space="preserve"> </w:t>
      </w:r>
      <w:fldSimple w:instr="NOTEREF _Ref_Footnote_71 \h \f">
        <w:r>
          <w:rPr>
            <w:vertAlign w:val="superscript"/>
          </w:rPr>
          <w:t>71</w:t>
        </w:r>
      </w:fldSimple>
      <w:r>
        <w:t xml:space="preserve">### Competitive Landscape</w:t>
      </w:r>
    </w:p>
    <w:tbl>
      <w:tblPr>
        <w:tblStyle w:val="Table"/>
        <w:tblW w:type="pct" w:w="5000"/>
        <w:tblLook w:firstRow="1" w:lastRow="0" w:firstColumn="0" w:lastColumn="0" w:noHBand="0" w:noVBand="0" w:val="0020"/>
      </w:tblPr>
      <w:tblGrid>
        <w:gridCol w:w="1584"/>
        <w:gridCol w:w="1584"/>
        <w:gridCol w:w="2217"/>
        <w:gridCol w:w="2534"/>
      </w:tblGrid>
      <w:tr>
        <w:trPr>
          <w:tblHeader w:val="true"/>
        </w:trPr>
        <w:tc>
          <w:tcPr/>
          <w:p>
            <w:pPr>
              <w:pStyle w:val="Compact"/>
              <w:jc w:val="left"/>
            </w:pPr>
            <w:r>
              <w:t xml:space="preserve">Provider</w:t>
            </w:r>
          </w:p>
        </w:tc>
        <w:tc>
          <w:tcPr/>
          <w:p>
            <w:pPr>
              <w:pStyle w:val="Compact"/>
              <w:jc w:val="left"/>
            </w:pPr>
            <w:r>
              <w:t xml:space="preserve">Approach</w:t>
            </w:r>
          </w:p>
        </w:tc>
        <w:tc>
          <w:tcPr/>
          <w:p>
            <w:pPr>
              <w:pStyle w:val="Compact"/>
              <w:jc w:val="left"/>
            </w:pPr>
            <w:r>
              <w:t xml:space="preserve">Bitcoin-Only?</w:t>
            </w:r>
          </w:p>
        </w:tc>
        <w:tc>
          <w:tcPr/>
          <w:p>
            <w:pPr>
              <w:pStyle w:val="Compact"/>
              <w:jc w:val="left"/>
            </w:pPr>
            <w:r>
              <w:t xml:space="preserve">Key Limitation</w:t>
            </w:r>
          </w:p>
        </w:tc>
      </w:tr>
      <w:tr>
        <w:tc>
          <w:tcPr/>
          <w:p>
            <w:pPr>
              <w:pStyle w:val="Compact"/>
              <w:jc w:val="left"/>
            </w:pPr>
            <w:r>
              <w:t xml:space="preserve">Bitpanda Wealth</w:t>
            </w:r>
          </w:p>
        </w:tc>
        <w:tc>
          <w:tcPr/>
          <w:p>
            <w:pPr>
              <w:pStyle w:val="Compact"/>
              <w:jc w:val="left"/>
            </w:pPr>
            <w:r>
              <w:t xml:space="preserve">Multi-asset OTC + custody</w:t>
            </w:r>
          </w:p>
        </w:tc>
        <w:tc>
          <w:tcPr/>
          <w:p>
            <w:pPr>
              <w:pStyle w:val="Compact"/>
              <w:jc w:val="left"/>
            </w:pPr>
            <w:r>
              <w:t xml:space="preserve">No (300+ assets)</w:t>
            </w:r>
          </w:p>
        </w:tc>
        <w:tc>
          <w:tcPr/>
          <w:p>
            <w:pPr>
              <w:pStyle w:val="Compact"/>
              <w:jc w:val="left"/>
            </w:pPr>
            <w:r>
              <w:t xml:space="preserve">No Bitcoin-specific advisory depth</w:t>
            </w:r>
            <w:r>
              <w:t xml:space="preserve"> </w:t>
            </w:r>
            <w:fldSimple w:instr="NOTEREF _Ref_Footnote_69 \h \f">
              <w:r>
                <w:rPr>
                  <w:vertAlign w:val="superscript"/>
                </w:rPr>
                <w:t>69</w:t>
              </w:r>
            </w:fldSimple>
          </w:p>
        </w:tc>
      </w:tr>
      <w:tr>
        <w:tc>
          <w:tcPr/>
          <w:p>
            <w:pPr>
              <w:pStyle w:val="Compact"/>
              <w:jc w:val="left"/>
            </w:pPr>
            <w:r>
              <w:t xml:space="preserve">Relai Private</w:t>
            </w:r>
          </w:p>
        </w:tc>
        <w:tc>
          <w:tcPr/>
          <w:p>
            <w:pPr>
              <w:pStyle w:val="Compact"/>
              <w:jc w:val="left"/>
            </w:pPr>
            <w:r>
              <w:t xml:space="preserve">Bitcoin-only broker + OTC</w:t>
            </w:r>
          </w:p>
        </w:tc>
        <w:tc>
          <w:tcPr/>
          <w:p>
            <w:pPr>
              <w:pStyle w:val="Compact"/>
              <w:jc w:val="left"/>
            </w:pPr>
            <w:r>
              <w:t xml:space="preserve">Yes</w:t>
            </w:r>
          </w:p>
        </w:tc>
        <w:tc>
          <w:tcPr/>
          <w:p>
            <w:pPr>
              <w:pStyle w:val="Compact"/>
              <w:jc w:val="left"/>
            </w:pPr>
            <w:r>
              <w:t xml:space="preserve">Limited to Switzerland; no full advisory</w:t>
            </w:r>
            <w:r>
              <w:t xml:space="preserve"> </w:t>
            </w:r>
            <w:fldSimple w:instr="NOTEREF _Ref_Footnote_74 \h \f">
              <w:r>
                <w:rPr>
                  <w:vertAlign w:val="superscript"/>
                </w:rPr>
                <w:t>74</w:t>
              </w:r>
            </w:fldSimple>
          </w:p>
        </w:tc>
      </w:tr>
      <w:tr>
        <w:tc>
          <w:tcPr/>
          <w:p>
            <w:pPr>
              <w:pStyle w:val="Compact"/>
              <w:jc w:val="left"/>
            </w:pPr>
            <w:r>
              <w:t xml:space="preserve">Sygnum Bank</w:t>
            </w:r>
          </w:p>
        </w:tc>
        <w:tc>
          <w:tcPr/>
          <w:p>
            <w:pPr>
              <w:pStyle w:val="Compact"/>
              <w:jc w:val="left"/>
            </w:pPr>
            <w:r>
              <w:t xml:space="preserve">Swiss digital asset bank</w:t>
            </w:r>
          </w:p>
        </w:tc>
        <w:tc>
          <w:tcPr/>
          <w:p>
            <w:pPr>
              <w:pStyle w:val="Compact"/>
              <w:jc w:val="left"/>
            </w:pPr>
            <w:r>
              <w:t xml:space="preserve">No (multi-asset)</w:t>
            </w:r>
          </w:p>
        </w:tc>
        <w:tc>
          <w:tcPr/>
          <w:p>
            <w:pPr>
              <w:pStyle w:val="Compact"/>
              <w:jc w:val="left"/>
            </w:pPr>
            <w:r>
              <w:t xml:space="preserve">Requires MiCA/CASP licensing; not advisory-focused</w:t>
            </w:r>
          </w:p>
        </w:tc>
      </w:tr>
      <w:tr>
        <w:tc>
          <w:tcPr/>
          <w:p>
            <w:pPr>
              <w:pStyle w:val="Compact"/>
              <w:jc w:val="left"/>
            </w:pPr>
            <w:r>
              <w:t xml:space="preserve">Julius Baer / SEBA</w:t>
            </w:r>
          </w:p>
        </w:tc>
        <w:tc>
          <w:tcPr/>
          <w:p>
            <w:pPr>
              <w:pStyle w:val="Compact"/>
              <w:jc w:val="left"/>
            </w:pPr>
            <w:r>
              <w:t xml:space="preserve">Private bank + custody</w:t>
            </w:r>
          </w:p>
        </w:tc>
        <w:tc>
          <w:tcPr/>
          <w:p>
            <w:pPr>
              <w:pStyle w:val="Compact"/>
              <w:jc w:val="left"/>
            </w:pPr>
            <w:r>
              <w:t xml:space="preserve">No</w:t>
            </w:r>
          </w:p>
        </w:tc>
        <w:tc>
          <w:tcPr/>
          <w:p>
            <w:pPr>
              <w:pStyle w:val="Compact"/>
              <w:jc w:val="left"/>
            </w:pPr>
            <w:r>
              <w:t xml:space="preserve">Indirect exposure only; very limited</w:t>
            </w:r>
            <w:r>
              <w:t xml:space="preserve"> </w:t>
            </w:r>
            <w:fldSimple w:instr="NOTEREF _Ref_Footnote_70 \h \f">
              <w:r>
                <w:rPr>
                  <w:vertAlign w:val="superscript"/>
                </w:rPr>
                <w:t>70</w:t>
              </w:r>
            </w:fldSimple>
          </w:p>
        </w:tc>
      </w:tr>
      <w:tr>
        <w:tc>
          <w:tcPr/>
          <w:p>
            <w:pPr>
              <w:pStyle w:val="Compact"/>
              <w:jc w:val="left"/>
            </w:pPr>
            <w:r>
              <w:t xml:space="preserve">XBTO</w:t>
            </w:r>
          </w:p>
        </w:tc>
        <w:tc>
          <w:tcPr/>
          <w:p>
            <w:pPr>
              <w:pStyle w:val="Compact"/>
              <w:jc w:val="left"/>
            </w:pPr>
            <w:r>
              <w:t xml:space="preserve">Institutional crypto management</w:t>
            </w:r>
          </w:p>
        </w:tc>
        <w:tc>
          <w:tcPr/>
          <w:p>
            <w:pPr>
              <w:pStyle w:val="Compact"/>
              <w:jc w:val="left"/>
            </w:pPr>
            <w:r>
              <w:t xml:space="preserve">No</w:t>
            </w:r>
          </w:p>
        </w:tc>
        <w:tc>
          <w:tcPr/>
          <w:p>
            <w:pPr>
              <w:pStyle w:val="Compact"/>
              <w:jc w:val="left"/>
            </w:pPr>
            <w:r>
              <w:t xml:space="preserve">Multi-strategy funds, not pure Bitcoin</w:t>
            </w:r>
          </w:p>
        </w:tc>
      </w:tr>
      <w:tr>
        <w:tc>
          <w:tcPr/>
          <w:p>
            <w:pPr>
              <w:pStyle w:val="Compact"/>
              <w:jc w:val="left"/>
            </w:pPr>
            <w:r>
              <w:rPr>
                <w:bCs/>
                <w:b/>
              </w:rPr>
              <w:t xml:space="preserve">GAP</w:t>
            </w:r>
          </w:p>
        </w:tc>
        <w:tc>
          <w:tcPr/>
          <w:p>
            <w:pPr>
              <w:pStyle w:val="Compact"/>
              <w:jc w:val="left"/>
            </w:pPr>
            <w:r>
              <w:rPr>
                <w:bCs/>
                <w:b/>
              </w:rPr>
              <w:t xml:space="preserve">Dedicated Bitcoin-only wealth advisor</w:t>
            </w:r>
          </w:p>
        </w:tc>
        <w:tc>
          <w:tcPr/>
          <w:p>
            <w:pPr>
              <w:pStyle w:val="Compact"/>
              <w:jc w:val="left"/>
            </w:pPr>
            <w:r>
              <w:rPr>
                <w:bCs/>
                <w:b/>
              </w:rPr>
              <w:t xml:space="preserve">None at scale</w:t>
            </w:r>
          </w:p>
        </w:tc>
        <w:tc>
          <w:tcPr/>
          <w:p>
            <w:pPr>
              <w:pStyle w:val="Compact"/>
              <w:jc w:val="left"/>
            </w:pPr>
            <w:r>
              <w:rPr>
                <w:bCs/>
                <w:b/>
              </w:rPr>
              <w:t xml:space="preserve">Full-service Bitcoin wealth management</w:t>
            </w:r>
          </w:p>
        </w:tc>
      </w:tr>
    </w:tbl>
    <w:bookmarkEnd w:id="50"/>
    <w:bookmarkStart w:id="51" w:name="why-bitcoin-only-wins"/>
    <w:p>
      <w:pPr>
        <w:pStyle w:val="Heading3"/>
      </w:pPr>
      <w:r>
        <w:t xml:space="preserve">Why Bitcoin-Only Wins</w:t>
      </w:r>
    </w:p>
    <w:p>
      <w:pPr>
        <w:numPr>
          <w:ilvl w:val="0"/>
          <w:numId w:val="1023"/>
        </w:numPr>
        <w:pStyle w:val="Compact"/>
      </w:pPr>
      <w:r>
        <w:rPr>
          <w:bCs/>
          <w:b/>
        </w:rPr>
        <w:t xml:space="preserve">Fiduciary alignment</w:t>
      </w:r>
      <w:r>
        <w:t xml:space="preserve">: Bitcoin-only advisors avoid conflicts of interest from promoting high-fee altcoin products, aligning with European family office emphasis on long-term wealth preservation</w:t>
      </w:r>
    </w:p>
    <w:p>
      <w:pPr>
        <w:numPr>
          <w:ilvl w:val="0"/>
          <w:numId w:val="1023"/>
        </w:numPr>
        <w:pStyle w:val="Compact"/>
      </w:pPr>
      <w:r>
        <w:rPr>
          <w:bCs/>
          <w:b/>
        </w:rPr>
        <w:t xml:space="preserve">Regulatory simplicity</w:t>
      </w:r>
      <w:r>
        <w:t xml:space="preserve">: MiCA compliance for Bitcoin-only advisory is significantly simpler than multi-asset advisory, which requires evaluating 300+ token securities classifications</w:t>
      </w:r>
    </w:p>
    <w:p>
      <w:pPr>
        <w:numPr>
          <w:ilvl w:val="0"/>
          <w:numId w:val="1023"/>
        </w:numPr>
        <w:pStyle w:val="Compact"/>
      </w:pPr>
      <w:r>
        <w:rPr>
          <w:bCs/>
          <w:b/>
        </w:rPr>
        <w:t xml:space="preserve">Technical depth</w:t>
      </w:r>
      <w:r>
        <w:t xml:space="preserve">: Family offices need expertise in self-custody, multi-sig, Lightning, and inheritance planning — areas where multi-crypto platforms lack depth</w:t>
      </w:r>
    </w:p>
    <w:p>
      <w:pPr>
        <w:numPr>
          <w:ilvl w:val="0"/>
          <w:numId w:val="1023"/>
        </w:numPr>
        <w:pStyle w:val="Compact"/>
      </w:pPr>
      <w:r>
        <w:rPr>
          <w:bCs/>
          <w:b/>
        </w:rPr>
        <w:t xml:space="preserve">Risk framework</w:t>
      </w:r>
      <w:r>
        <w:t xml:space="preserve">: Bitcoin’s 15+ year track record allows for genuine risk modeling; multi-crypto portfolios face unpredictable correlated drawdowns</w:t>
      </w:r>
    </w:p>
    <w:p>
      <w:pPr>
        <w:numPr>
          <w:ilvl w:val="0"/>
          <w:numId w:val="1023"/>
        </w:numPr>
        <w:pStyle w:val="Compact"/>
      </w:pPr>
      <w:r>
        <w:rPr>
          <w:bCs/>
          <w:b/>
        </w:rPr>
        <w:t xml:space="preserve">European cultural fit</w:t>
      </w:r>
      <w:r>
        <w:t xml:space="preserve">: European wealth culture prioritizes security and simplicity over speculation — Bitcoin-only aligns with this ethos</w:t>
      </w:r>
    </w:p>
    <w:bookmarkEnd w:id="51"/>
    <w:bookmarkStart w:id="52" w:name="barriers-to-entry"/>
    <w:p>
      <w:pPr>
        <w:pStyle w:val="Heading3"/>
      </w:pPr>
      <w:r>
        <w:t xml:space="preserve">Barriers to Entry</w:t>
      </w:r>
    </w:p>
    <w:tbl>
      <w:tblPr>
        <w:tblStyle w:val="Table"/>
        <w:tblW w:type="pct" w:w="5000"/>
        <w:tblLook w:firstRow="1" w:lastRow="0" w:firstColumn="0" w:lastColumn="0" w:noHBand="0" w:noVBand="0" w:val="0020"/>
      </w:tblPr>
      <w:tblGrid>
        <w:gridCol w:w="2299"/>
        <w:gridCol w:w="2554"/>
        <w:gridCol w:w="3065"/>
      </w:tblGrid>
      <w:tr>
        <w:trPr>
          <w:tblHeader w:val="true"/>
        </w:trPr>
        <w:tc>
          <w:tcPr/>
          <w:p>
            <w:pPr>
              <w:pStyle w:val="Compact"/>
              <w:jc w:val="left"/>
            </w:pPr>
            <w:r>
              <w:t xml:space="preserve">Barrier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MiFID II investment advisory licensing</w:t>
            </w:r>
          </w:p>
        </w:tc>
        <w:tc>
          <w:tcPr/>
          <w:p>
            <w:pPr>
              <w:pStyle w:val="Compact"/>
              <w:jc w:val="left"/>
            </w:pPr>
            <w:r>
              <w:t xml:space="preserve">High</w:t>
            </w:r>
          </w:p>
        </w:tc>
        <w:tc>
          <w:tcPr/>
          <w:p>
            <w:pPr>
              <w:pStyle w:val="Compact"/>
              <w:jc w:val="left"/>
            </w:pPr>
            <w:r>
              <w:t xml:space="preserve">Partnership with licensed incumbent; regulatory sandbox</w:t>
            </w:r>
          </w:p>
        </w:tc>
      </w:tr>
      <w:tr>
        <w:tc>
          <w:tcPr/>
          <w:p>
            <w:pPr>
              <w:pStyle w:val="Compact"/>
              <w:jc w:val="left"/>
            </w:pPr>
            <w:r>
              <w:t xml:space="preserve">Capital requirements (compliance, infrastructure)</w:t>
            </w:r>
          </w:p>
        </w:tc>
        <w:tc>
          <w:tcPr/>
          <w:p>
            <w:pPr>
              <w:pStyle w:val="Compact"/>
              <w:jc w:val="left"/>
            </w:pPr>
            <w:r>
              <w:t xml:space="preserve">High</w:t>
            </w:r>
          </w:p>
        </w:tc>
        <w:tc>
          <w:tcPr/>
          <w:p>
            <w:pPr>
              <w:pStyle w:val="Compact"/>
              <w:jc w:val="left"/>
            </w:pPr>
            <w:r>
              <w:t xml:space="preserve">EUR 500K-2M initial; phased rollout</w:t>
            </w:r>
          </w:p>
        </w:tc>
      </w:tr>
      <w:tr>
        <w:tc>
          <w:tcPr/>
          <w:p>
            <w:pPr>
              <w:pStyle w:val="Compact"/>
              <w:jc w:val="left"/>
            </w:pPr>
            <w:r>
              <w:t xml:space="preserve">Trust / track record for HNWI adoption</w:t>
            </w:r>
          </w:p>
        </w:tc>
        <w:tc>
          <w:tcPr/>
          <w:p>
            <w:pPr>
              <w:pStyle w:val="Compact"/>
              <w:jc w:val="left"/>
            </w:pPr>
            <w:r>
              <w:t xml:space="preserve">High</w:t>
            </w:r>
          </w:p>
        </w:tc>
        <w:tc>
          <w:tcPr/>
          <w:p>
            <w:pPr>
              <w:pStyle w:val="Compact"/>
              <w:jc w:val="left"/>
            </w:pPr>
            <w:r>
              <w:t xml:space="preserve">Multi-year horizon; pilot programs with early adopters</w:t>
            </w:r>
          </w:p>
        </w:tc>
      </w:tr>
      <w:tr>
        <w:tc>
          <w:tcPr/>
          <w:p>
            <w:pPr>
              <w:pStyle w:val="Compact"/>
              <w:jc w:val="left"/>
            </w:pPr>
            <w:r>
              <w:t xml:space="preserve">Talent scarcity (Bitcoin-native wealth managers)</w:t>
            </w:r>
          </w:p>
        </w:tc>
        <w:tc>
          <w:tcPr/>
          <w:p>
            <w:pPr>
              <w:pStyle w:val="Compact"/>
              <w:jc w:val="left"/>
            </w:pPr>
            <w:r>
              <w:t xml:space="preserve">Critical</w:t>
            </w:r>
          </w:p>
        </w:tc>
        <w:tc>
          <w:tcPr/>
          <w:p>
            <w:pPr>
              <w:pStyle w:val="Compact"/>
              <w:jc w:val="left"/>
            </w:pPr>
            <w:r>
              <w:t xml:space="preserve">Education flywheel (Opportunity 4); recruit from Bitcoin-native firms</w:t>
            </w:r>
          </w:p>
        </w:tc>
      </w:tr>
    </w:tbl>
    <w:p>
      <w:r>
        <w:pict>
          <v:rect style="width:0;height:1.5pt" o:hralign="center" o:hrstd="t" o:hr="t"/>
        </w:pict>
      </w:r>
    </w:p>
    <w:bookmarkEnd w:id="52"/>
    <w:bookmarkEnd w:id="53"/>
    <w:bookmarkStart w:id="59" w:name="Xa4950fdde410b21f89844aa5d05f359f0d1a83a"/>
    <w:p>
      <w:pPr>
        <w:pStyle w:val="Heading2"/>
      </w:pPr>
      <w:r>
        <w:t xml:space="preserve">3.2 Opportunity 2: Bitcoin-Secured Lending (No Altcoin Exposure)</w:t>
      </w:r>
    </w:p>
    <w:bookmarkStart w:id="54" w:name="gap-description-1"/>
    <w:p>
      <w:pPr>
        <w:pStyle w:val="Heading3"/>
      </w:pPr>
      <w:r>
        <w:t xml:space="preserve">Gap Description</w:t>
      </w:r>
    </w:p>
    <w:p>
      <w:pPr>
        <w:pStyle w:val="FirstParagraph"/>
      </w:pPr>
      <w:r>
        <w:t xml:space="preserve">Bitcoin holders in Europe seeking liquidity without selling face a stark choice: use multi-crypto lending platforms that expose them to counterparty risk from altcoin collateral pools, or use no lending service at all. The European Bitcoin loan market was valued at USD 1.5 billion in 2024 and is projected to reach USD 5.2 billion by 2033</w:t>
      </w:r>
      <w:r>
        <w:t xml:space="preserve"> </w:t>
      </w:r>
      <w:r>
        <w:rPr>
          <w:vertAlign w:val="superscript"/>
        </w:rPr>
        <w:footnoteReference w:id="75"/>
      </w:r>
      <w:r>
        <w:t xml:space="preserve">, yet almost all lending platforms accept multi-crypto collateral, creating systemic risk. Bitcoin dominates collateral at 44.7% of all crypto-backed loans</w:t>
      </w:r>
      <w:r>
        <w:t xml:space="preserve"> </w:t>
      </w:r>
      <w:r>
        <w:rPr>
          <w:vertAlign w:val="superscript"/>
        </w:rPr>
        <w:footnoteReference w:id="76"/>
      </w:r>
      <w:r>
        <w:t xml:space="preserve">, meaning Bitcoin holders are subsidizing riskier altcoin collateral on shared platforms.</w:t>
      </w:r>
    </w:p>
    <w:bookmarkEnd w:id="54"/>
    <w:bookmarkStart w:id="55" w:name="addressable-market-size-1"/>
    <w:p>
      <w:pPr>
        <w:pStyle w:val="Heading3"/>
      </w:pPr>
      <w:r>
        <w:t xml:space="preserve">Addressable Market Size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European Bitcoin loan market (2024)</w:t>
            </w:r>
          </w:p>
        </w:tc>
        <w:tc>
          <w:tcPr/>
          <w:p>
            <w:pPr>
              <w:pStyle w:val="Compact"/>
              <w:jc w:val="left"/>
            </w:pPr>
            <w:r>
              <w:t xml:space="preserve">USD 1.5 billion</w:t>
            </w:r>
          </w:p>
        </w:tc>
        <w:tc>
          <w:tcPr/>
          <w:p>
            <w:pPr>
              <w:pStyle w:val="Compact"/>
              <w:jc w:val="left"/>
            </w:pPr>
            <w:fldSimple w:instr="NOTEREF _Ref_Footnote_75 \h \f">
              <w:r>
                <w:rPr>
                  <w:vertAlign w:val="superscript"/>
                </w:rPr>
                <w:t>75</w:t>
              </w:r>
            </w:fldSimple>
          </w:p>
        </w:tc>
      </w:tr>
      <w:tr>
        <w:tc>
          <w:tcPr/>
          <w:p>
            <w:pPr>
              <w:pStyle w:val="Compact"/>
              <w:jc w:val="left"/>
            </w:pPr>
            <w:r>
              <w:t xml:space="preserve">European Bitcoin loan market (2033 projection)</w:t>
            </w:r>
          </w:p>
        </w:tc>
        <w:tc>
          <w:tcPr/>
          <w:p>
            <w:pPr>
              <w:pStyle w:val="Compact"/>
              <w:jc w:val="left"/>
            </w:pPr>
            <w:r>
              <w:t xml:space="preserve">USD 5.2 billion</w:t>
            </w:r>
          </w:p>
        </w:tc>
        <w:tc>
          <w:tcPr/>
          <w:p>
            <w:pPr>
              <w:pStyle w:val="Compact"/>
              <w:jc w:val="left"/>
            </w:pPr>
            <w:fldSimple w:instr="NOTEREF _Ref_Footnote_75 \h \f">
              <w:r>
                <w:rPr>
                  <w:vertAlign w:val="superscript"/>
                </w:rPr>
                <w:t>75</w:t>
              </w:r>
            </w:fldSimple>
          </w:p>
        </w:tc>
      </w:tr>
      <w:tr>
        <w:tc>
          <w:tcPr/>
          <w:p>
            <w:pPr>
              <w:pStyle w:val="Compact"/>
              <w:jc w:val="left"/>
            </w:pPr>
            <w:r>
              <w:t xml:space="preserve">CAGR</w:t>
            </w:r>
          </w:p>
        </w:tc>
        <w:tc>
          <w:tcPr/>
          <w:p>
            <w:pPr>
              <w:pStyle w:val="Compact"/>
              <w:jc w:val="left"/>
            </w:pPr>
            <w:r>
              <w:t xml:space="preserve">15.0%</w:t>
            </w:r>
          </w:p>
        </w:tc>
        <w:tc>
          <w:tcPr/>
          <w:p>
            <w:pPr>
              <w:pStyle w:val="Compact"/>
              <w:jc w:val="left"/>
            </w:pPr>
            <w:fldSimple w:instr="NOTEREF _Ref_Footnote_75 \h \f">
              <w:r>
                <w:rPr>
                  <w:vertAlign w:val="superscript"/>
                </w:rPr>
                <w:t>75</w:t>
              </w:r>
            </w:fldSimple>
          </w:p>
        </w:tc>
      </w:tr>
      <w:tr>
        <w:tc>
          <w:tcPr/>
          <w:p>
            <w:pPr>
              <w:pStyle w:val="Compact"/>
              <w:jc w:val="left"/>
            </w:pPr>
            <w:r>
              <w:t xml:space="preserve">Bitcoin share of crypto collateral</w:t>
            </w:r>
          </w:p>
        </w:tc>
        <w:tc>
          <w:tcPr/>
          <w:p>
            <w:pPr>
              <w:pStyle w:val="Compact"/>
              <w:jc w:val="left"/>
            </w:pPr>
            <w:r>
              <w:t xml:space="preserve">44.7% ($6.6B globally)</w:t>
            </w:r>
          </w:p>
        </w:tc>
        <w:tc>
          <w:tcPr/>
          <w:p>
            <w:pPr>
              <w:pStyle w:val="Compact"/>
              <w:jc w:val="left"/>
            </w:pPr>
            <w:fldSimple w:instr="NOTEREF _Ref_Footnote_76 \h \f">
              <w:r>
                <w:rPr>
                  <w:vertAlign w:val="superscript"/>
                </w:rPr>
                <w:t>76</w:t>
              </w:r>
            </w:fldSimple>
          </w:p>
        </w:tc>
      </w:tr>
      <w:tr>
        <w:tc>
          <w:tcPr/>
          <w:p>
            <w:pPr>
              <w:pStyle w:val="Compact"/>
              <w:jc w:val="left"/>
            </w:pPr>
            <w:r>
              <w:t xml:space="preserve">Europe share of global crypto lending revenue</w:t>
            </w:r>
          </w:p>
        </w:tc>
        <w:tc>
          <w:tcPr/>
          <w:p>
            <w:pPr>
              <w:pStyle w:val="Compact"/>
              <w:jc w:val="left"/>
            </w:pPr>
            <w:r>
              <w:t xml:space="preserve">27.2% (2nd largest)</w:t>
            </w:r>
          </w:p>
        </w:tc>
        <w:tc>
          <w:tcPr/>
          <w:p>
            <w:pPr>
              <w:pStyle w:val="Compact"/>
              <w:jc w:val="left"/>
            </w:pPr>
            <w:fldSimple w:instr="NOTEREF _Ref_Footnote_76 \h \f">
              <w:r>
                <w:rPr>
                  <w:vertAlign w:val="superscript"/>
                </w:rPr>
                <w:t>76</w:t>
              </w:r>
            </w:fldSimple>
          </w:p>
        </w:tc>
      </w:tr>
      <w:tr>
        <w:tc>
          <w:tcPr/>
          <w:p>
            <w:pPr>
              <w:pStyle w:val="Compact"/>
              <w:jc w:val="left"/>
            </w:pPr>
            <w:r>
              <w:t xml:space="preserve">Germany Bitcoin loan market (2024)</w:t>
            </w:r>
          </w:p>
        </w:tc>
        <w:tc>
          <w:tcPr/>
          <w:p>
            <w:pPr>
              <w:pStyle w:val="Compact"/>
              <w:jc w:val="left"/>
            </w:pPr>
            <w:r>
              <w:t xml:space="preserve">USD 0.6B → USD 2.0B by 2033</w:t>
            </w:r>
          </w:p>
        </w:tc>
        <w:tc>
          <w:tcPr/>
          <w:p>
            <w:pPr>
              <w:pStyle w:val="Compact"/>
              <w:jc w:val="left"/>
            </w:pPr>
            <w:fldSimple w:instr="NOTEREF _Ref_Footnote_75 \h \f">
              <w:r>
                <w:rPr>
                  <w:vertAlign w:val="superscript"/>
                </w:rPr>
                <w:t>75</w:t>
              </w:r>
            </w:fldSimple>
          </w:p>
        </w:tc>
      </w:tr>
      <w:tr>
        <w:tc>
          <w:tcPr/>
          <w:p>
            <w:pPr>
              <w:pStyle w:val="Compact"/>
              <w:jc w:val="left"/>
            </w:pPr>
            <w:r>
              <w:t xml:space="preserve">UK Bitcoin loan market (2024)</w:t>
            </w:r>
          </w:p>
        </w:tc>
        <w:tc>
          <w:tcPr/>
          <w:p>
            <w:pPr>
              <w:pStyle w:val="Compact"/>
              <w:jc w:val="left"/>
            </w:pPr>
            <w:r>
              <w:t xml:space="preserve">USD 0.5B → USD 1.8B by 2033</w:t>
            </w:r>
          </w:p>
        </w:tc>
        <w:tc>
          <w:tcPr/>
          <w:p>
            <w:pPr>
              <w:pStyle w:val="Compact"/>
              <w:jc w:val="left"/>
            </w:pPr>
            <w:fldSimple w:instr="NOTEREF _Ref_Footnote_75 \h \f">
              <w:r>
                <w:rPr>
                  <w:vertAlign w:val="superscript"/>
                </w:rPr>
                <w:t>75</w:t>
              </w:r>
            </w:fldSimple>
          </w:p>
        </w:tc>
      </w:tr>
      <w:tr>
        <w:tc>
          <w:tcPr/>
          <w:p>
            <w:pPr>
              <w:pStyle w:val="Compact"/>
              <w:jc w:val="left"/>
            </w:pPr>
            <w:r>
              <w:rPr>
                <w:bCs/>
                <w:b/>
              </w:rPr>
              <w:t xml:space="preserve">Serviceable market (10-15% share)</w:t>
            </w:r>
          </w:p>
        </w:tc>
        <w:tc>
          <w:tcPr/>
          <w:p>
            <w:pPr>
              <w:pStyle w:val="Compact"/>
              <w:jc w:val="left"/>
            </w:pPr>
            <w:r>
              <w:rPr>
                <w:bCs/>
                <w:b/>
              </w:rPr>
              <w:t xml:space="preserve">USD 67-100M loan origination annually</w:t>
            </w:r>
          </w:p>
        </w:tc>
        <w:tc>
          <w:tcPr/>
          <w:p>
            <w:pPr>
              <w:pStyle w:val="Compact"/>
              <w:jc w:val="left"/>
            </w:pPr>
            <w:fldSimple w:instr="NOTEREF _Ref_Footnote_75 \h \f">
              <w:r>
                <w:rPr>
                  <w:vertAlign w:val="superscript"/>
                </w:rPr>
                <w:t>75</w:t>
              </w:r>
            </w:fldSimple>
            <w:r>
              <w:t xml:space="preserve"> </w:t>
            </w:r>
            <w:fldSimple w:instr="NOTEREF _Ref_Footnote_76 \h \f">
              <w:r>
                <w:rPr>
                  <w:vertAlign w:val="superscript"/>
                </w:rPr>
                <w:t>76</w:t>
              </w:r>
            </w:fldSimple>
          </w:p>
        </w:tc>
      </w:tr>
      <w:tr>
        <w:tc>
          <w:tcPr/>
          <w:p>
            <w:pPr>
              <w:pStyle w:val="Compact"/>
              <w:jc w:val="left"/>
            </w:pPr>
            <w:r>
              <w:rPr>
                <w:bCs/>
                <w:b/>
              </w:rPr>
              <w:t xml:space="preserve">Interest margin revenue (5-8% spread)</w:t>
            </w:r>
          </w:p>
        </w:tc>
        <w:tc>
          <w:tcPr/>
          <w:p>
            <w:pPr>
              <w:pStyle w:val="Compact"/>
              <w:jc w:val="left"/>
            </w:pPr>
            <w:r>
              <w:rPr>
                <w:bCs/>
                <w:b/>
              </w:rPr>
              <w:t xml:space="preserve">USD 3.4-8.0M annually</w:t>
            </w:r>
          </w:p>
        </w:tc>
        <w:tc>
          <w:tcPr/>
          <w:p>
            <w:pPr>
              <w:pStyle w:val="Compact"/>
              <w:jc w:val="left"/>
            </w:pPr>
            <w:r>
              <w:t xml:space="preserve">—</w:t>
            </w:r>
          </w:p>
        </w:tc>
      </w:tr>
    </w:tbl>
    <w:bookmarkEnd w:id="55"/>
    <w:bookmarkStart w:id="56" w:name="evidence-of-demand-1"/>
    <w:p>
      <w:pPr>
        <w:pStyle w:val="Heading3"/>
      </w:pPr>
      <w:r>
        <w:t xml:space="preserve">Evidence of Demand</w:t>
      </w:r>
    </w:p>
    <w:p>
      <w:pPr>
        <w:numPr>
          <w:ilvl w:val="0"/>
          <w:numId w:val="1024"/>
        </w:numPr>
        <w:pStyle w:val="Compact"/>
      </w:pPr>
      <w:r>
        <w:rPr>
          <w:bCs/>
          <w:b/>
        </w:rPr>
        <w:t xml:space="preserve">Relai launched Bitcoin-backed loans in May 2025</w:t>
      </w:r>
      <w:r>
        <w:t xml:space="preserve"> </w:t>
      </w:r>
      <w:r>
        <w:t xml:space="preserve">in partnership with Sygnum Bank, becoming</w:t>
      </w:r>
      <w:r>
        <w:t xml:space="preserve"> </w:t>
      </w:r>
      <w:r>
        <w:t xml:space="preserve">“</w:t>
      </w:r>
      <w:r>
        <w:t xml:space="preserve">the first Bitcoin Broker in Europe to offer Bitcoin-collateralized lending</w:t>
      </w:r>
      <w:r>
        <w:t xml:space="preserve">”</w:t>
      </w:r>
      <w:r>
        <w:t xml:space="preserve"> </w:t>
      </w:r>
      <w:r>
        <w:t xml:space="preserve">— CEO Julian Liniger cited</w:t>
      </w:r>
      <w:r>
        <w:t xml:space="preserve"> </w:t>
      </w:r>
      <w:r>
        <w:t xml:space="preserve">“</w:t>
      </w:r>
      <w:r>
        <w:t xml:space="preserve">strong demand for that service, especially from high-net-worth individuals and small to medium-sized businesses</w:t>
      </w:r>
      <w:r>
        <w:t xml:space="preserve">”</w:t>
      </w:r>
      <w:r>
        <w:t xml:space="preserve"> </w:t>
      </w:r>
      <w:r>
        <w:rPr>
          <w:vertAlign w:val="superscript"/>
        </w:rPr>
        <w:footnoteReference w:id="77"/>
      </w:r>
      <w:r>
        <w:t xml:space="preserve">- The European crypto-backed lending market captured</w:t>
      </w:r>
      <w:r>
        <w:t xml:space="preserve"> </w:t>
      </w:r>
      <w:r>
        <w:rPr>
          <w:bCs/>
          <w:b/>
        </w:rPr>
        <w:t xml:space="preserve">27.2% of global revenue</w:t>
      </w:r>
      <w:r>
        <w:t xml:space="preserve"> </w:t>
      </w:r>
      <w:r>
        <w:t xml:space="preserve">in 2025, making it the second-largest regional market</w:t>
      </w:r>
      <w:r>
        <w:t xml:space="preserve"> </w:t>
      </w:r>
      <w:fldSimple w:instr="NOTEREF _Ref_Footnote_76 \h \f">
        <w:r>
          <w:rPr>
            <w:vertAlign w:val="superscript"/>
          </w:rPr>
          <w:t>76</w:t>
        </w:r>
      </w:fldSimple>
      <w:r>
        <w:t xml:space="preserve">- Bitcoin collateral represents</w:t>
      </w:r>
      <w:r>
        <w:t xml:space="preserve"> </w:t>
      </w:r>
      <w:r>
        <w:rPr>
          <w:bCs/>
          <w:b/>
        </w:rPr>
        <w:t xml:space="preserve">$6.6 billion in active loan facilities globally</w:t>
      </w:r>
      <w:r>
        <w:t xml:space="preserve"> </w:t>
      </w:r>
      <w:r>
        <w:t xml:space="preserve">(44.7% market share)</w:t>
      </w:r>
      <w:r>
        <w:t xml:space="preserve"> </w:t>
      </w:r>
      <w:fldSimple w:instr="NOTEREF _Ref_Footnote_76 \h \f">
        <w:r>
          <w:rPr>
            <w:vertAlign w:val="superscript"/>
          </w:rPr>
          <w:t>76</w:t>
        </w:r>
      </w:fldSimple>
      <w:r>
        <w:t xml:space="preserve">- Primary use case:</w:t>
      </w:r>
      <w:r>
        <w:t xml:space="preserve"> </w:t>
      </w:r>
      <w:r>
        <w:t xml:space="preserve">“</w:t>
      </w:r>
      <w:r>
        <w:t xml:space="preserve">avoid triggering taxable events by not selling</w:t>
      </w:r>
      <w:r>
        <w:t xml:space="preserve">”</w:t>
      </w:r>
      <w:r>
        <w:t xml:space="preserve"> </w:t>
      </w:r>
      <w:r>
        <w:t xml:space="preserve">— particularly relevant in European jurisdictions with high capital gains taxes</w:t>
      </w:r>
      <w:r>
        <w:t xml:space="preserve"> </w:t>
      </w:r>
      <w:fldSimple w:instr="NOTEREF _Ref_Footnote_77 \h \f">
        <w:r>
          <w:rPr>
            <w:vertAlign w:val="superscript"/>
          </w:rPr>
          <w:t>77</w:t>
        </w:r>
      </w:fldSimple>
      <w:r>
        <w:t xml:space="preserve">- The market validates demand: Relai launched in Switzerland only, leaving the entire EU market underserved</w:t>
      </w:r>
      <w:r>
        <w:t xml:space="preserve"> </w:t>
      </w:r>
      <w:fldSimple w:instr="NOTEREF _Ref_Footnote_77 \h \f">
        <w:r>
          <w:rPr>
            <w:vertAlign w:val="superscript"/>
          </w:rPr>
          <w:t>77</w:t>
        </w:r>
      </w:fldSimple>
      <w:r>
        <w:t xml:space="preserve">### Competitive Landscape</w:t>
      </w:r>
    </w:p>
    <w:tbl>
      <w:tblPr>
        <w:tblStyle w:val="Table"/>
        <w:tblW w:type="pct" w:w="5000"/>
        <w:tblLook w:firstRow="1" w:lastRow="0" w:firstColumn="0" w:lastColumn="0" w:noHBand="0" w:noVBand="0" w:val="0020"/>
      </w:tblPr>
      <w:tblGrid>
        <w:gridCol w:w="1365"/>
        <w:gridCol w:w="1911"/>
        <w:gridCol w:w="2321"/>
        <w:gridCol w:w="1092"/>
        <w:gridCol w:w="1228"/>
      </w:tblGrid>
      <w:tr>
        <w:trPr>
          <w:tblHeader w:val="true"/>
        </w:trPr>
        <w:tc>
          <w:tcPr/>
          <w:p>
            <w:pPr>
              <w:pStyle w:val="Compact"/>
              <w:jc w:val="left"/>
            </w:pPr>
            <w:r>
              <w:t xml:space="preserve">Provider</w:t>
            </w:r>
          </w:p>
        </w:tc>
        <w:tc>
          <w:tcPr/>
          <w:p>
            <w:pPr>
              <w:pStyle w:val="Compact"/>
              <w:jc w:val="left"/>
            </w:pPr>
            <w:r>
              <w:t xml:space="preserve">Bitcoin-Only?</w:t>
            </w:r>
          </w:p>
        </w:tc>
        <w:tc>
          <w:tcPr/>
          <w:p>
            <w:pPr>
              <w:pStyle w:val="Compact"/>
              <w:jc w:val="left"/>
            </w:pPr>
            <w:r>
              <w:t xml:space="preserve">Collateral Types</w:t>
            </w:r>
          </w:p>
        </w:tc>
        <w:tc>
          <w:tcPr/>
          <w:p>
            <w:pPr>
              <w:pStyle w:val="Compact"/>
              <w:jc w:val="left"/>
            </w:pPr>
            <w:r>
              <w:t xml:space="preserve">Region</w:t>
            </w:r>
          </w:p>
        </w:tc>
        <w:tc>
          <w:tcPr/>
          <w:p>
            <w:pPr>
              <w:pStyle w:val="Compact"/>
              <w:jc w:val="left"/>
            </w:pPr>
            <w:r>
              <w:t xml:space="preserve">Max LTV</w:t>
            </w:r>
          </w:p>
        </w:tc>
      </w:tr>
      <w:tr>
        <w:tc>
          <w:tcPr/>
          <w:p>
            <w:pPr>
              <w:pStyle w:val="Compact"/>
              <w:jc w:val="left"/>
            </w:pPr>
            <w:r>
              <w:t xml:space="preserve">Relai Private</w:t>
            </w:r>
          </w:p>
        </w:tc>
        <w:tc>
          <w:tcPr/>
          <w:p>
            <w:pPr>
              <w:pStyle w:val="Compact"/>
              <w:jc w:val="left"/>
            </w:pPr>
            <w:r>
              <w:t xml:space="preserve">Yes</w:t>
            </w:r>
          </w:p>
        </w:tc>
        <w:tc>
          <w:tcPr/>
          <w:p>
            <w:pPr>
              <w:pStyle w:val="Compact"/>
              <w:jc w:val="left"/>
            </w:pPr>
            <w:r>
              <w:t xml:space="preserve">BTC only</w:t>
            </w:r>
          </w:p>
        </w:tc>
        <w:tc>
          <w:tcPr/>
          <w:p>
            <w:pPr>
              <w:pStyle w:val="Compact"/>
              <w:jc w:val="left"/>
            </w:pPr>
            <w:r>
              <w:t xml:space="preserve">Switzerland only</w:t>
            </w:r>
          </w:p>
        </w:tc>
        <w:tc>
          <w:tcPr/>
          <w:p>
            <w:pPr>
              <w:pStyle w:val="Compact"/>
              <w:jc w:val="left"/>
            </w:pPr>
            <w:r>
              <w:t xml:space="preserve">Not disclosed</w:t>
            </w:r>
            <w:r>
              <w:t xml:space="preserve"> </w:t>
            </w:r>
            <w:fldSimple w:instr="NOTEREF _Ref_Footnote_77 \h \f">
              <w:r>
                <w:rPr>
                  <w:vertAlign w:val="superscript"/>
                </w:rPr>
                <w:t>77</w:t>
              </w:r>
            </w:fldSimple>
          </w:p>
        </w:tc>
      </w:tr>
      <w:tr>
        <w:tc>
          <w:tcPr/>
          <w:p>
            <w:pPr>
              <w:pStyle w:val="Compact"/>
              <w:jc w:val="left"/>
            </w:pPr>
            <w:r>
              <w:t xml:space="preserve">Nexo</w:t>
            </w:r>
          </w:p>
        </w:tc>
        <w:tc>
          <w:tcPr/>
          <w:p>
            <w:pPr>
              <w:pStyle w:val="Compact"/>
              <w:jc w:val="left"/>
            </w:pPr>
            <w:r>
              <w:t xml:space="preserve">No</w:t>
            </w:r>
          </w:p>
        </w:tc>
        <w:tc>
          <w:tcPr/>
          <w:p>
            <w:pPr>
              <w:pStyle w:val="Compact"/>
              <w:jc w:val="left"/>
            </w:pPr>
            <w:r>
              <w:t xml:space="preserve">BTC, ETH, 20+</w:t>
            </w:r>
          </w:p>
        </w:tc>
        <w:tc>
          <w:tcPr/>
          <w:p>
            <w:pPr>
              <w:pStyle w:val="Compact"/>
              <w:jc w:val="left"/>
            </w:pPr>
            <w:r>
              <w:t xml:space="preserve">Global</w:t>
            </w:r>
          </w:p>
        </w:tc>
        <w:tc>
          <w:tcPr/>
          <w:p>
            <w:pPr>
              <w:pStyle w:val="Compact"/>
              <w:jc w:val="left"/>
            </w:pPr>
            <w:r>
              <w:t xml:space="preserve">Up to 70%</w:t>
            </w:r>
          </w:p>
        </w:tc>
      </w:tr>
      <w:tr>
        <w:tc>
          <w:tcPr/>
          <w:p>
            <w:pPr>
              <w:pStyle w:val="Compact"/>
              <w:jc w:val="left"/>
            </w:pPr>
            <w:r>
              <w:t xml:space="preserve">YouHodler</w:t>
            </w:r>
          </w:p>
        </w:tc>
        <w:tc>
          <w:tcPr/>
          <w:p>
            <w:pPr>
              <w:pStyle w:val="Compact"/>
              <w:jc w:val="left"/>
            </w:pPr>
            <w:r>
              <w:t xml:space="preserve">No</w:t>
            </w:r>
          </w:p>
        </w:tc>
        <w:tc>
          <w:tcPr/>
          <w:p>
            <w:pPr>
              <w:pStyle w:val="Compact"/>
              <w:jc w:val="left"/>
            </w:pPr>
            <w:r>
              <w:t xml:space="preserve">BTC, ETH, 50+</w:t>
            </w:r>
          </w:p>
        </w:tc>
        <w:tc>
          <w:tcPr/>
          <w:p>
            <w:pPr>
              <w:pStyle w:val="Compact"/>
              <w:jc w:val="left"/>
            </w:pPr>
            <w:r>
              <w:t xml:space="preserve">EU (Cyprus)</w:t>
            </w:r>
          </w:p>
        </w:tc>
        <w:tc>
          <w:tcPr/>
          <w:p>
            <w:pPr>
              <w:pStyle w:val="Compact"/>
              <w:jc w:val="left"/>
            </w:pPr>
            <w:r>
              <w:t xml:space="preserve">Up to 70%</w:t>
            </w:r>
          </w:p>
        </w:tc>
      </w:tr>
      <w:tr>
        <w:tc>
          <w:tcPr/>
          <w:p>
            <w:pPr>
              <w:pStyle w:val="Compact"/>
              <w:jc w:val="left"/>
            </w:pPr>
            <w:r>
              <w:t xml:space="preserve">Ledn</w:t>
            </w:r>
          </w:p>
        </w:tc>
        <w:tc>
          <w:tcPr/>
          <w:p>
            <w:pPr>
              <w:pStyle w:val="Compact"/>
              <w:jc w:val="left"/>
            </w:pPr>
            <w:r>
              <w:t xml:space="preserve">Bitcoin-focused</w:t>
            </w:r>
          </w:p>
        </w:tc>
        <w:tc>
          <w:tcPr/>
          <w:p>
            <w:pPr>
              <w:pStyle w:val="Compact"/>
              <w:jc w:val="left"/>
            </w:pPr>
            <w:r>
              <w:t xml:space="preserve">BTC, ETH</w:t>
            </w:r>
          </w:p>
        </w:tc>
        <w:tc>
          <w:tcPr/>
          <w:p>
            <w:pPr>
              <w:pStyle w:val="Compact"/>
              <w:jc w:val="left"/>
            </w:pPr>
            <w:r>
              <w:t xml:space="preserve">Global</w:t>
            </w:r>
          </w:p>
        </w:tc>
        <w:tc>
          <w:tcPr/>
          <w:p>
            <w:pPr>
              <w:pStyle w:val="Compact"/>
              <w:jc w:val="left"/>
            </w:pPr>
            <w:r>
              <w:t xml:space="preserve">50-60%</w:t>
            </w:r>
          </w:p>
        </w:tc>
      </w:tr>
      <w:tr>
        <w:tc>
          <w:tcPr/>
          <w:p>
            <w:pPr>
              <w:pStyle w:val="Compact"/>
              <w:jc w:val="left"/>
            </w:pPr>
            <w:r>
              <w:t xml:space="preserve">Unchained Capital</w:t>
            </w:r>
          </w:p>
        </w:tc>
        <w:tc>
          <w:tcPr/>
          <w:p>
            <w:pPr>
              <w:pStyle w:val="Compact"/>
              <w:jc w:val="left"/>
            </w:pPr>
            <w:r>
              <w:t xml:space="preserve">Bitcoin-focused</w:t>
            </w:r>
          </w:p>
        </w:tc>
        <w:tc>
          <w:tcPr/>
          <w:p>
            <w:pPr>
              <w:pStyle w:val="Compact"/>
              <w:jc w:val="left"/>
            </w:pPr>
            <w:r>
              <w:t xml:space="preserve">BTC only</w:t>
            </w:r>
          </w:p>
        </w:tc>
        <w:tc>
          <w:tcPr/>
          <w:p>
            <w:pPr>
              <w:pStyle w:val="Compact"/>
              <w:jc w:val="left"/>
            </w:pPr>
            <w:r>
              <w:t xml:space="preserve">US only</w:t>
            </w:r>
          </w:p>
        </w:tc>
        <w:tc>
          <w:tcPr/>
          <w:p>
            <w:pPr>
              <w:pStyle w:val="Compact"/>
              <w:jc w:val="left"/>
            </w:pPr>
            <w:r>
              <w:t xml:space="preserve">50-60%</w:t>
            </w:r>
          </w:p>
        </w:tc>
      </w:tr>
      <w:tr>
        <w:tc>
          <w:tcPr/>
          <w:p>
            <w:pPr>
              <w:pStyle w:val="Compact"/>
              <w:jc w:val="left"/>
            </w:pPr>
            <w:r>
              <w:t xml:space="preserve">CoinLoan</w:t>
            </w:r>
          </w:p>
        </w:tc>
        <w:tc>
          <w:tcPr/>
          <w:p>
            <w:pPr>
              <w:pStyle w:val="Compact"/>
              <w:jc w:val="left"/>
            </w:pPr>
            <w:r>
              <w:t xml:space="preserve">No</w:t>
            </w:r>
          </w:p>
        </w:tc>
        <w:tc>
          <w:tcPr/>
          <w:p>
            <w:pPr>
              <w:pStyle w:val="Compact"/>
              <w:jc w:val="left"/>
            </w:pPr>
            <w:r>
              <w:t xml:space="preserve">BTC, ETH, 20+</w:t>
            </w:r>
          </w:p>
        </w:tc>
        <w:tc>
          <w:tcPr/>
          <w:p>
            <w:pPr>
              <w:pStyle w:val="Compact"/>
              <w:jc w:val="left"/>
            </w:pPr>
            <w:r>
              <w:t xml:space="preserve">Estonia</w:t>
            </w:r>
          </w:p>
        </w:tc>
        <w:tc>
          <w:tcPr/>
          <w:p>
            <w:pPr>
              <w:pStyle w:val="Compact"/>
              <w:jc w:val="left"/>
            </w:pPr>
            <w:r>
              <w:t xml:space="preserve">Up to 70%</w:t>
            </w:r>
          </w:p>
        </w:tc>
      </w:tr>
      <w:tr>
        <w:tc>
          <w:tcPr/>
          <w:p>
            <w:pPr>
              <w:pStyle w:val="Compact"/>
              <w:jc w:val="left"/>
            </w:pPr>
            <w:r>
              <w:rPr>
                <w:bCs/>
                <w:b/>
              </w:rPr>
              <w:t xml:space="preserve">GAP</w:t>
            </w:r>
          </w:p>
        </w:tc>
        <w:tc>
          <w:tcPr/>
          <w:p>
            <w:pPr>
              <w:pStyle w:val="Compact"/>
              <w:jc w:val="left"/>
            </w:pPr>
            <w:r>
              <w:rPr>
                <w:bCs/>
                <w:b/>
              </w:rPr>
              <w:t xml:space="preserve">Bitcoin-only lending for EU residents</w:t>
            </w:r>
          </w:p>
        </w:tc>
        <w:tc>
          <w:tcPr/>
          <w:p>
            <w:pPr>
              <w:pStyle w:val="Compact"/>
              <w:jc w:val="left"/>
            </w:pPr>
            <w:r>
              <w:rPr>
                <w:bCs/>
                <w:b/>
              </w:rPr>
              <w:t xml:space="preserve">Limited options</w:t>
            </w:r>
          </w:p>
        </w:tc>
        <w:tc>
          <w:tcPr/>
          <w:p>
            <w:pPr>
              <w:pStyle w:val="Compact"/>
              <w:jc w:val="left"/>
            </w:pPr>
            <w:r>
              <w:rPr>
                <w:bCs/>
                <w:b/>
              </w:rPr>
              <w:t xml:space="preserve">EU-wide</w:t>
            </w:r>
          </w:p>
        </w:tc>
        <w:tc>
          <w:tcPr/>
          <w:p>
            <w:pPr>
              <w:pStyle w:val="Compact"/>
              <w:jc w:val="left"/>
            </w:pPr>
            <w:r>
              <w:rPr>
                <w:bCs/>
                <w:b/>
              </w:rPr>
              <w:t xml:space="preserve">Competitive LTV possible</w:t>
            </w:r>
          </w:p>
        </w:tc>
      </w:tr>
    </w:tbl>
    <w:bookmarkEnd w:id="56"/>
    <w:bookmarkStart w:id="57" w:name="why-bitcoin-only-wins-1"/>
    <w:p>
      <w:pPr>
        <w:pStyle w:val="Heading3"/>
      </w:pPr>
      <w:r>
        <w:t xml:space="preserve">Why Bitcoin-Only Wins</w:t>
      </w:r>
    </w:p>
    <w:p>
      <w:pPr>
        <w:numPr>
          <w:ilvl w:val="0"/>
          <w:numId w:val="1025"/>
        </w:numPr>
        <w:pStyle w:val="Compact"/>
      </w:pPr>
      <w:r>
        <w:rPr>
          <w:bCs/>
          <w:b/>
        </w:rPr>
        <w:t xml:space="preserve">Collateral quality</w:t>
      </w:r>
      <w:r>
        <w:t xml:space="preserve">: Bitcoin’s liquidity and market depth enable higher LTV ratios (up to 70%) with lower liquidation risk than altcoins</w:t>
      </w:r>
    </w:p>
    <w:p>
      <w:pPr>
        <w:numPr>
          <w:ilvl w:val="0"/>
          <w:numId w:val="1025"/>
        </w:numPr>
        <w:pStyle w:val="Compact"/>
      </w:pPr>
      <w:r>
        <w:rPr>
          <w:bCs/>
          <w:b/>
        </w:rPr>
        <w:t xml:space="preserve">Risk isolation</w:t>
      </w:r>
      <w:r>
        <w:t xml:space="preserve">: Bitcoin-only lending avoids cross-contamination from altcoin volatility events and smart contract exploits (WBTC, DeFi bridge hacks)</w:t>
      </w:r>
    </w:p>
    <w:p>
      <w:pPr>
        <w:numPr>
          <w:ilvl w:val="0"/>
          <w:numId w:val="1025"/>
        </w:numPr>
        <w:pStyle w:val="Compact"/>
      </w:pPr>
      <w:r>
        <w:rPr>
          <w:bCs/>
          <w:b/>
        </w:rPr>
        <w:t xml:space="preserve">Tax efficiency</w:t>
      </w:r>
      <w:r>
        <w:t xml:space="preserve">: European borrowers specifically want to avoid selling Bitcoin to prevent taxable events — a Bitcoin-only product serves this precisely</w:t>
      </w:r>
      <w:r>
        <w:t xml:space="preserve"> </w:t>
      </w:r>
      <w:fldSimple w:instr="NOTEREF _Ref_Footnote_77 \h \f">
        <w:r>
          <w:rPr>
            <w:vertAlign w:val="superscript"/>
          </w:rPr>
          <w:t>77</w:t>
        </w:r>
      </w:fldSimple>
      <w:r>
        <w:t xml:space="preserve">-</w:t>
      </w:r>
      <w:r>
        <w:t xml:space="preserve"> </w:t>
      </w:r>
      <w:r>
        <w:rPr>
          <w:bCs/>
          <w:b/>
        </w:rPr>
        <w:t xml:space="preserve">Regulatory clarity</w:t>
      </w:r>
      <w:r>
        <w:t xml:space="preserve">: Bitcoin’s commodity classification across EU jurisdictions simplifies lending regulation vs. security-classified tokens</w:t>
      </w:r>
    </w:p>
    <w:p>
      <w:pPr>
        <w:numPr>
          <w:ilvl w:val="0"/>
          <w:numId w:val="1025"/>
        </w:numPr>
        <w:pStyle w:val="Compact"/>
      </w:pPr>
      <w:r>
        <w:rPr>
          <w:bCs/>
          <w:b/>
        </w:rPr>
        <w:t xml:space="preserve">Institutional eligibility</w:t>
      </w:r>
      <w:r>
        <w:t xml:space="preserve">: European family office investment committees can approve Bitcoin-only lending more easily than multi-crypto exposure</w:t>
      </w:r>
    </w:p>
    <w:bookmarkEnd w:id="57"/>
    <w:bookmarkStart w:id="58" w:name="barriers-to-entry-1"/>
    <w:p>
      <w:pPr>
        <w:pStyle w:val="Heading3"/>
      </w:pPr>
      <w:r>
        <w:t xml:space="preserve">Barriers to Entry</w:t>
      </w:r>
    </w:p>
    <w:tbl>
      <w:tblPr>
        <w:tblStyle w:val="Table"/>
        <w:tblW w:type="pct" w:w="5000"/>
        <w:tblLook w:firstRow="1" w:lastRow="0" w:firstColumn="0" w:lastColumn="0" w:noHBand="0" w:noVBand="0" w:val="0020"/>
      </w:tblPr>
      <w:tblGrid>
        <w:gridCol w:w="2299"/>
        <w:gridCol w:w="2554"/>
        <w:gridCol w:w="3065"/>
      </w:tblGrid>
      <w:tr>
        <w:trPr>
          <w:tblHeader w:val="true"/>
        </w:trPr>
        <w:tc>
          <w:tcPr/>
          <w:p>
            <w:pPr>
              <w:pStyle w:val="Compact"/>
              <w:jc w:val="left"/>
            </w:pPr>
            <w:r>
              <w:t xml:space="preserve">Barrier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MiCA licensing for lending activities</w:t>
            </w:r>
          </w:p>
        </w:tc>
        <w:tc>
          <w:tcPr/>
          <w:p>
            <w:pPr>
              <w:pStyle w:val="Compact"/>
              <w:jc w:val="left"/>
            </w:pPr>
            <w:r>
              <w:t xml:space="preserve">High</w:t>
            </w:r>
          </w:p>
        </w:tc>
        <w:tc>
          <w:tcPr/>
          <w:p>
            <w:pPr>
              <w:pStyle w:val="Compact"/>
              <w:jc w:val="left"/>
            </w:pPr>
            <w:r>
              <w:t xml:space="preserve">CASP authorization; EUR 150K minimum capital</w:t>
            </w:r>
            <w:r>
              <w:t xml:space="preserve"> </w:t>
            </w:r>
            <w:r>
              <w:rPr>
                <w:vertAlign w:val="superscript"/>
              </w:rPr>
              <w:footnoteReference w:id="78"/>
            </w:r>
          </w:p>
        </w:tc>
      </w:tr>
      <w:tr>
        <w:tc>
          <w:tcPr/>
          <w:p>
            <w:pPr>
              <w:pStyle w:val="Compact"/>
              <w:jc w:val="left"/>
            </w:pPr>
            <w:r>
              <w:t xml:space="preserve">Banking partnerships (fiat on/off ramp)</w:t>
            </w:r>
          </w:p>
        </w:tc>
        <w:tc>
          <w:tcPr/>
          <w:p>
            <w:pPr>
              <w:pStyle w:val="Compact"/>
              <w:jc w:val="left"/>
            </w:pPr>
            <w:r>
              <w:t xml:space="preserve">High</w:t>
            </w:r>
          </w:p>
        </w:tc>
        <w:tc>
          <w:tcPr/>
          <w:p>
            <w:pPr>
              <w:pStyle w:val="Compact"/>
              <w:jc w:val="left"/>
            </w:pPr>
            <w:r>
              <w:t xml:space="preserve">Partner with regulated European bank</w:t>
            </w:r>
          </w:p>
        </w:tc>
      </w:tr>
      <w:tr>
        <w:tc>
          <w:tcPr/>
          <w:p>
            <w:pPr>
              <w:pStyle w:val="Compact"/>
              <w:jc w:val="left"/>
            </w:pPr>
            <w:r>
              <w:t xml:space="preserve">Collateral monitoring / liquidation infrastructure</w:t>
            </w:r>
          </w:p>
        </w:tc>
        <w:tc>
          <w:tcPr/>
          <w:p>
            <w:pPr>
              <w:pStyle w:val="Compact"/>
              <w:jc w:val="left"/>
            </w:pPr>
            <w:r>
              <w:t xml:space="preserve">Medium</w:t>
            </w:r>
          </w:p>
        </w:tc>
        <w:tc>
          <w:tcPr/>
          <w:p>
            <w:pPr>
              <w:pStyle w:val="Compact"/>
              <w:jc w:val="left"/>
            </w:pPr>
            <w:r>
              <w:t xml:space="preserve">Build or license risk management systems</w:t>
            </w:r>
          </w:p>
        </w:tc>
      </w:tr>
      <w:tr>
        <w:tc>
          <w:tcPr/>
          <w:p>
            <w:pPr>
              <w:pStyle w:val="Compact"/>
              <w:jc w:val="left"/>
            </w:pPr>
            <w:r>
              <w:t xml:space="preserve">Regulatory uncertainty in specific member states</w:t>
            </w:r>
          </w:p>
        </w:tc>
        <w:tc>
          <w:tcPr/>
          <w:p>
            <w:pPr>
              <w:pStyle w:val="Compact"/>
              <w:jc w:val="left"/>
            </w:pPr>
            <w:r>
              <w:t xml:space="preserve">Medium</w:t>
            </w:r>
          </w:p>
        </w:tc>
        <w:tc>
          <w:tcPr/>
          <w:p>
            <w:pPr>
              <w:pStyle w:val="Compact"/>
              <w:jc w:val="left"/>
            </w:pPr>
            <w:r>
              <w:t xml:space="preserve">Jurisdiction shopping; legal opinion</w:t>
            </w:r>
          </w:p>
        </w:tc>
      </w:tr>
    </w:tbl>
    <w:p>
      <w:r>
        <w:pict>
          <v:rect style="width:0;height:1.5pt" o:hralign="center" o:hrstd="t" o:hr="t"/>
        </w:pict>
      </w:r>
    </w:p>
    <w:bookmarkEnd w:id="58"/>
    <w:bookmarkEnd w:id="59"/>
    <w:bookmarkStart w:id="65" w:name="X7c567cbb42f67bf9066e734acdf5e994be2f8cf"/>
    <w:p>
      <w:pPr>
        <w:pStyle w:val="Heading2"/>
      </w:pPr>
      <w:r>
        <w:t xml:space="preserve">3.3 Opportunity 3: Bitcoin Inheritance and Estate Planning</w:t>
      </w:r>
    </w:p>
    <w:bookmarkStart w:id="60" w:name="gap-description-2"/>
    <w:p>
      <w:pPr>
        <w:pStyle w:val="Heading3"/>
      </w:pPr>
      <w:r>
        <w:t xml:space="preserve">Gap Description</w:t>
      </w:r>
    </w:p>
    <w:p>
      <w:pPr>
        <w:pStyle w:val="FirstParagraph"/>
      </w:pPr>
      <w:r>
        <w:t xml:space="preserve">An estimated 2.3 to 4 million BTC (11-18% of Bitcoin’s 21 million cap) are believed to be permanently lost, with inadequate estate planning cited as a primary cause</w:t>
      </w:r>
      <w:r>
        <w:t xml:space="preserve"> </w:t>
      </w:r>
      <w:r>
        <w:rPr>
          <w:vertAlign w:val="superscript"/>
        </w:rPr>
        <w:footnoteReference w:id="79"/>
      </w:r>
      <w:r>
        <w:t xml:space="preserve"> </w:t>
      </w:r>
      <w:r>
        <w:rPr>
          <w:vertAlign w:val="superscript"/>
        </w:rPr>
        <w:footnoteReference w:id="80"/>
      </w:r>
      <w:r>
        <w:t xml:space="preserve">. Despite this massive wealth destruction, there are virtually no Bitcoin-specific inheritance services available in Europe. Existing solutions are either US-based (Casa, Unchained Capital), multi-crypto rather than Bitcoin-native, or require significant technical expertise. The digital legacy market is projected to reach USD 29.5 billion by 2030, with cryptocurrency inheritance as the fastest-growing segment</w:t>
      </w:r>
      <w:r>
        <w:t xml:space="preserve"> </w:t>
      </w:r>
      <w:r>
        <w:rPr>
          <w:vertAlign w:val="superscript"/>
        </w:rPr>
        <w:footnoteReference w:id="81"/>
      </w:r>
      <w:r>
        <w:t xml:space="preserve">.</w:t>
      </w:r>
    </w:p>
    <w:bookmarkEnd w:id="60"/>
    <w:bookmarkStart w:id="61" w:name="addressable-market-size-2"/>
    <w:p>
      <w:pPr>
        <w:pStyle w:val="Heading3"/>
      </w:pPr>
      <w:r>
        <w:t xml:space="preserve">Addressable Market Size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BTC permanently lost</w:t>
            </w:r>
          </w:p>
        </w:tc>
        <w:tc>
          <w:tcPr/>
          <w:p>
            <w:pPr>
              <w:pStyle w:val="Compact"/>
              <w:jc w:val="left"/>
            </w:pPr>
            <w:r>
              <w:t xml:space="preserve">2.3-4 million BTC (~$140B at current prices)</w:t>
            </w:r>
          </w:p>
        </w:tc>
        <w:tc>
          <w:tcPr/>
          <w:p>
            <w:pPr>
              <w:pStyle w:val="Compact"/>
              <w:jc w:val="left"/>
            </w:pPr>
            <w:fldSimple w:instr="NOTEREF _Ref_Footnote_79 \h \f">
              <w:r>
                <w:rPr>
                  <w:vertAlign w:val="superscript"/>
                </w:rPr>
                <w:t>79</w:t>
              </w:r>
            </w:fldSimple>
            <w:r>
              <w:t xml:space="preserve"> </w:t>
            </w:r>
            <w:fldSimple w:instr="NOTEREF _Ref_Footnote_80 \h \f">
              <w:r>
                <w:rPr>
                  <w:vertAlign w:val="superscript"/>
                </w:rPr>
                <w:t>80</w:t>
              </w:r>
            </w:fldSimple>
          </w:p>
        </w:tc>
      </w:tr>
      <w:tr>
        <w:tc>
          <w:tcPr/>
          <w:p>
            <w:pPr>
              <w:pStyle w:val="Compact"/>
              <w:jc w:val="left"/>
            </w:pPr>
            <w:r>
              <w:t xml:space="preserve">Digital legacy market (2024)</w:t>
            </w:r>
          </w:p>
        </w:tc>
        <w:tc>
          <w:tcPr/>
          <w:p>
            <w:pPr>
              <w:pStyle w:val="Compact"/>
              <w:jc w:val="left"/>
            </w:pPr>
            <w:r>
              <w:t xml:space="preserve">USD 10.2 billion</w:t>
            </w:r>
          </w:p>
        </w:tc>
        <w:tc>
          <w:tcPr/>
          <w:p>
            <w:pPr>
              <w:pStyle w:val="Compact"/>
              <w:jc w:val="left"/>
            </w:pPr>
            <w:fldSimple w:instr="NOTEREF _Ref_Footnote_81 \h \f">
              <w:r>
                <w:rPr>
                  <w:vertAlign w:val="superscript"/>
                </w:rPr>
                <w:t>81</w:t>
              </w:r>
            </w:fldSimple>
          </w:p>
        </w:tc>
      </w:tr>
      <w:tr>
        <w:tc>
          <w:tcPr/>
          <w:p>
            <w:pPr>
              <w:pStyle w:val="Compact"/>
              <w:jc w:val="left"/>
            </w:pPr>
            <w:r>
              <w:t xml:space="preserve">Digital legacy market (2030 projection)</w:t>
            </w:r>
          </w:p>
        </w:tc>
        <w:tc>
          <w:tcPr/>
          <w:p>
            <w:pPr>
              <w:pStyle w:val="Compact"/>
              <w:jc w:val="left"/>
            </w:pPr>
            <w:r>
              <w:t xml:space="preserve">USD 29.5 billion</w:t>
            </w:r>
          </w:p>
        </w:tc>
        <w:tc>
          <w:tcPr/>
          <w:p>
            <w:pPr>
              <w:pStyle w:val="Compact"/>
              <w:jc w:val="left"/>
            </w:pPr>
            <w:fldSimple w:instr="NOTEREF _Ref_Footnote_81 \h \f">
              <w:r>
                <w:rPr>
                  <w:vertAlign w:val="superscript"/>
                </w:rPr>
                <w:t>81</w:t>
              </w:r>
            </w:fldSimple>
          </w:p>
        </w:tc>
      </w:tr>
      <w:tr>
        <w:tc>
          <w:tcPr/>
          <w:p>
            <w:pPr>
              <w:pStyle w:val="Compact"/>
              <w:jc w:val="left"/>
            </w:pPr>
            <w:r>
              <w:t xml:space="preserve">Digital legacy CAGR</w:t>
            </w:r>
          </w:p>
        </w:tc>
        <w:tc>
          <w:tcPr/>
          <w:p>
            <w:pPr>
              <w:pStyle w:val="Compact"/>
              <w:jc w:val="left"/>
            </w:pPr>
            <w:r>
              <w:t xml:space="preserve">18.6%</w:t>
            </w:r>
          </w:p>
        </w:tc>
        <w:tc>
          <w:tcPr/>
          <w:p>
            <w:pPr>
              <w:pStyle w:val="Compact"/>
              <w:jc w:val="left"/>
            </w:pPr>
            <w:fldSimple w:instr="NOTEREF _Ref_Footnote_81 \h \f">
              <w:r>
                <w:rPr>
                  <w:vertAlign w:val="superscript"/>
                </w:rPr>
                <w:t>81</w:t>
              </w:r>
            </w:fldSimple>
          </w:p>
        </w:tc>
      </w:tr>
      <w:tr>
        <w:tc>
          <w:tcPr/>
          <w:p>
            <w:pPr>
              <w:pStyle w:val="Compact"/>
              <w:jc w:val="left"/>
            </w:pPr>
            <w:r>
              <w:t xml:space="preserve">European estate planning market CAGR</w:t>
            </w:r>
          </w:p>
        </w:tc>
        <w:tc>
          <w:tcPr/>
          <w:p>
            <w:pPr>
              <w:pStyle w:val="Compact"/>
              <w:jc w:val="left"/>
            </w:pPr>
            <w:r>
              <w:t xml:space="preserve">9.0% (USD 3.7M → USD 8.8M by 2034)</w:t>
            </w:r>
          </w:p>
        </w:tc>
        <w:tc>
          <w:tcPr/>
          <w:p>
            <w:pPr>
              <w:pStyle w:val="Compact"/>
              <w:jc w:val="left"/>
            </w:pPr>
            <w:r>
              <w:rPr>
                <w:vertAlign w:val="superscript"/>
              </w:rPr>
              <w:footnoteReference w:id="82"/>
            </w:r>
          </w:p>
        </w:tc>
      </w:tr>
      <w:tr>
        <w:tc>
          <w:tcPr/>
          <w:p>
            <w:pPr>
              <w:pStyle w:val="Compact"/>
              <w:jc w:val="left"/>
            </w:pPr>
            <w:r>
              <w:t xml:space="preserve">European Bitcoin holders with &gt;EUR 50K in BTC</w:t>
            </w:r>
          </w:p>
        </w:tc>
        <w:tc>
          <w:tcPr/>
          <w:p>
            <w:pPr>
              <w:pStyle w:val="Compact"/>
              <w:jc w:val="left"/>
            </w:pPr>
            <w:r>
              <w:t xml:space="preserve">500,000-1,000,000 individuals</w:t>
            </w:r>
          </w:p>
        </w:tc>
        <w:tc>
          <w:tcPr/>
          <w:p>
            <w:pPr>
              <w:pStyle w:val="Compact"/>
              <w:jc w:val="left"/>
            </w:pPr>
            <w:r>
              <w:t xml:space="preserve">—</w:t>
            </w:r>
          </w:p>
        </w:tc>
      </w:tr>
      <w:tr>
        <w:tc>
          <w:tcPr/>
          <w:p>
            <w:pPr>
              <w:pStyle w:val="Compact"/>
              <w:jc w:val="left"/>
            </w:pPr>
            <w:r>
              <w:t xml:space="preserve">Average inheritance service fee</w:t>
            </w:r>
          </w:p>
        </w:tc>
        <w:tc>
          <w:tcPr/>
          <w:p>
            <w:pPr>
              <w:pStyle w:val="Compact"/>
              <w:jc w:val="left"/>
            </w:pPr>
            <w:r>
              <w:t xml:space="preserve">EUR 200-500/year (basic); EUR 2,000-5,000 (comprehensive)</w:t>
            </w:r>
          </w:p>
        </w:tc>
        <w:tc>
          <w:tcPr/>
          <w:p>
            <w:pPr>
              <w:pStyle w:val="Compact"/>
              <w:jc w:val="left"/>
            </w:pPr>
            <w:r>
              <w:t xml:space="preserve">—</w:t>
            </w:r>
          </w:p>
        </w:tc>
      </w:tr>
      <w:tr>
        <w:tc>
          <w:tcPr/>
          <w:p>
            <w:pPr>
              <w:pStyle w:val="Compact"/>
              <w:jc w:val="left"/>
            </w:pPr>
            <w:r>
              <w:rPr>
                <w:bCs/>
                <w:b/>
              </w:rPr>
              <w:t xml:space="preserve">Total addressable market (Europe)</w:t>
            </w:r>
          </w:p>
        </w:tc>
        <w:tc>
          <w:tcPr/>
          <w:p>
            <w:pPr>
              <w:pStyle w:val="Compact"/>
              <w:jc w:val="left"/>
            </w:pPr>
            <w:r>
              <w:rPr>
                <w:bCs/>
                <w:b/>
              </w:rPr>
              <w:t xml:space="preserve">EUR 100-500M annually</w:t>
            </w:r>
          </w:p>
        </w:tc>
        <w:tc>
          <w:tcPr/>
          <w:p>
            <w:pPr>
              <w:pStyle w:val="Compact"/>
              <w:jc w:val="left"/>
            </w:pPr>
            <w:fldSimple w:instr="NOTEREF _Ref_Footnote_81 \h \f">
              <w:r>
                <w:rPr>
                  <w:vertAlign w:val="superscript"/>
                </w:rPr>
                <w:t>81</w:t>
              </w:r>
            </w:fldSimple>
          </w:p>
        </w:tc>
      </w:tr>
      <w:tr>
        <w:tc>
          <w:tcPr/>
          <w:p>
            <w:pPr>
              <w:pStyle w:val="Compact"/>
              <w:jc w:val="left"/>
            </w:pPr>
            <w:r>
              <w:rPr>
                <w:bCs/>
                <w:b/>
              </w:rPr>
              <w:t xml:space="preserve">Immediate serviceable market (2024-2026)</w:t>
            </w:r>
          </w:p>
        </w:tc>
        <w:tc>
          <w:tcPr/>
          <w:p>
            <w:pPr>
              <w:pStyle w:val="Compact"/>
              <w:jc w:val="left"/>
            </w:pPr>
            <w:r>
              <w:rPr>
                <w:bCs/>
                <w:b/>
              </w:rPr>
              <w:t xml:space="preserve">EUR 10-25M</w:t>
            </w:r>
          </w:p>
        </w:tc>
        <w:tc>
          <w:tcPr/>
          <w:p>
            <w:pPr>
              <w:pStyle w:val="Compact"/>
              <w:jc w:val="left"/>
            </w:pPr>
            <w:r>
              <w:t xml:space="preserve">—</w:t>
            </w:r>
          </w:p>
        </w:tc>
      </w:tr>
    </w:tbl>
    <w:bookmarkEnd w:id="61"/>
    <w:bookmarkStart w:id="62" w:name="evidence-of-demand-2"/>
    <w:p>
      <w:pPr>
        <w:pStyle w:val="Heading3"/>
      </w:pPr>
      <w:r>
        <w:t xml:space="preserve">Evidence of Demand</w:t>
      </w:r>
    </w:p>
    <w:p>
      <w:pPr>
        <w:numPr>
          <w:ilvl w:val="0"/>
          <w:numId w:val="1026"/>
        </w:numPr>
        <w:pStyle w:val="Compact"/>
      </w:pPr>
      <w:r>
        <w:rPr>
          <w:bCs/>
          <w:b/>
        </w:rPr>
        <w:t xml:space="preserve">$140 billion worth of Bitcoin</w:t>
      </w:r>
      <w:r>
        <w:t xml:space="preserve"> </w:t>
      </w:r>
      <w:r>
        <w:t xml:space="preserve">(approximately 20% of total supply) may be permanently lost due to inadequate estate planning, per Chainalysis</w:t>
      </w:r>
      <w:r>
        <w:t xml:space="preserve"> </w:t>
      </w:r>
      <w:fldSimple w:instr="NOTEREF _Ref_Footnote_80 \h \f">
        <w:r>
          <w:rPr>
            <w:vertAlign w:val="superscript"/>
          </w:rPr>
          <w:t>80</w:t>
        </w:r>
      </w:fldSimple>
      <w:r>
        <w:t xml:space="preserve">-</w:t>
      </w:r>
      <w:r>
        <w:t xml:space="preserve"> </w:t>
      </w:r>
      <w:r>
        <w:rPr>
          <w:bCs/>
          <w:b/>
        </w:rPr>
        <w:t xml:space="preserve">2.3 to 4 million BTC permanently lost</w:t>
      </w:r>
      <w:r>
        <w:t xml:space="preserve">, with a 2024 River Financial report putting the figure at 3.8 million</w:t>
      </w:r>
      <w:r>
        <w:t xml:space="preserve"> </w:t>
      </w:r>
      <w:fldSimple w:instr="NOTEREF _Ref_Footnote_79 \h \f">
        <w:r>
          <w:rPr>
            <w:vertAlign w:val="superscript"/>
          </w:rPr>
          <w:t>79</w:t>
        </w:r>
      </w:fldSimple>
      <w:r>
        <w:t xml:space="preserve">- The digital legacy market is valued at</w:t>
      </w:r>
      <w:r>
        <w:t xml:space="preserve"> </w:t>
      </w:r>
      <w:r>
        <w:rPr>
          <w:bCs/>
          <w:b/>
        </w:rPr>
        <w:t xml:space="preserve">USD 10.2 billion (2024) growing to USD 29.5 billion by 2030</w:t>
      </w:r>
      <w:r>
        <w:t xml:space="preserve"> </w:t>
      </w:r>
      <w:r>
        <w:t xml:space="preserve">at 18.6% CAGR, with cryptocurrency inheritance as the highest-growth segment</w:t>
      </w:r>
      <w:r>
        <w:t xml:space="preserve"> </w:t>
      </w:r>
      <w:fldSimple w:instr="NOTEREF _Ref_Footnote_81 \h \f">
        <w:r>
          <w:rPr>
            <w:vertAlign w:val="superscript"/>
          </w:rPr>
          <w:t>81</w:t>
        </w:r>
      </w:fldSimple>
      <w:r>
        <w:t xml:space="preserve">-</w:t>
      </w:r>
      <w:r>
        <w:t xml:space="preserve"> </w:t>
      </w:r>
      <w:r>
        <w:rPr>
          <w:bCs/>
          <w:b/>
        </w:rPr>
        <w:t xml:space="preserve">Only 31% of Americans have an active will</w:t>
      </w:r>
      <w:r>
        <w:t xml:space="preserve">, and estate planning for digital assets lags far behind traditional assets</w:t>
      </w:r>
      <w:r>
        <w:t xml:space="preserve"> </w:t>
      </w:r>
      <w:fldSimple w:instr="NOTEREF _Ref_Footnote_82 \h \f">
        <w:r>
          <w:rPr>
            <w:vertAlign w:val="superscript"/>
          </w:rPr>
          <w:t>82</w:t>
        </w:r>
      </w:fldSimple>
      <w:r>
        <w:t xml:space="preserve">- Existing providers are inadequate: Casa minimum cost is $250/year with limited European presence; Unchained Capital is US-only and starts at $750/year</w:t>
      </w:r>
      <w:r>
        <w:t xml:space="preserve"> </w:t>
      </w:r>
      <w:r>
        <w:rPr>
          <w:vertAlign w:val="superscript"/>
        </w:rPr>
        <w:footnoteReference w:id="83"/>
      </w:r>
      <w:r>
        <w:t xml:space="preserve"> </w:t>
      </w:r>
      <w:r>
        <w:rPr>
          <w:vertAlign w:val="superscript"/>
        </w:rPr>
        <w:footnoteReference w:id="84"/>
      </w:r>
      <w:r>
        <w:t xml:space="preserve">-</w:t>
      </w:r>
      <w:r>
        <w:t xml:space="preserve"> </w:t>
      </w:r>
      <w:r>
        <w:rPr>
          <w:bCs/>
          <w:b/>
        </w:rPr>
        <w:t xml:space="preserve">Nunchuk identified a</w:t>
      </w:r>
      <w:r>
        <w:rPr>
          <w:bCs/>
          <w:b/>
        </w:rPr>
        <w:t xml:space="preserve"> </w:t>
      </w:r>
      <w:r>
        <w:rPr>
          <w:bCs/>
          <w:b/>
        </w:rPr>
        <w:t xml:space="preserve">“</w:t>
      </w:r>
      <w:r>
        <w:rPr>
          <w:bCs/>
          <w:b/>
        </w:rPr>
        <w:t xml:space="preserve">Resilience Gap</w:t>
      </w:r>
      <w:r>
        <w:rPr>
          <w:bCs/>
          <w:b/>
        </w:rPr>
        <w:t xml:space="preserve">”</w:t>
      </w:r>
      <w:r>
        <w:t xml:space="preserve"> </w:t>
      </w:r>
      <w:r>
        <w:t xml:space="preserve">in off-chain inheritance solutions — if the provider fails, the inheritance plan may fail</w:t>
      </w:r>
      <w:r>
        <w:t xml:space="preserve"> </w:t>
      </w:r>
      <w:r>
        <w:rPr>
          <w:vertAlign w:val="superscript"/>
        </w:rPr>
        <w:footnoteReference w:id="85"/>
      </w:r>
      <w:r>
        <w:t xml:space="preserve">- Ledn co-founder:</w:t>
      </w:r>
      <w:r>
        <w:t xml:space="preserve"> </w:t>
      </w:r>
      <w:r>
        <w:t xml:space="preserve">“</w:t>
      </w:r>
      <w:r>
        <w:t xml:space="preserve">Estate planning is a massive blind spot for a lot of crypto holders</w:t>
      </w:r>
      <w:r>
        <w:t xml:space="preserve">”</w:t>
      </w:r>
      <w:r>
        <w:t xml:space="preserve"> </w:t>
      </w:r>
      <w:fldSimple w:instr="NOTEREF _Ref_Footnote_80 \h \f">
        <w:r>
          <w:rPr>
            <w:vertAlign w:val="superscript"/>
          </w:rPr>
          <w:t>80</w:t>
        </w:r>
      </w:fldSimple>
      <w:r>
        <w:t xml:space="preserve">### Competitive Landscape</w:t>
      </w:r>
    </w:p>
    <w:tbl>
      <w:tblPr>
        <w:tblStyle w:val="Table"/>
        <w:tblW w:type="pct" w:w="5000"/>
        <w:tblLook w:firstRow="1" w:lastRow="0" w:firstColumn="0" w:lastColumn="0" w:noHBand="0" w:noVBand="0" w:val="0020"/>
      </w:tblPr>
      <w:tblGrid>
        <w:gridCol w:w="1277"/>
        <w:gridCol w:w="1277"/>
        <w:gridCol w:w="1788"/>
        <w:gridCol w:w="2810"/>
        <w:gridCol w:w="766"/>
      </w:tblGrid>
      <w:tr>
        <w:trPr>
          <w:tblHeader w:val="true"/>
        </w:trPr>
        <w:tc>
          <w:tcPr/>
          <w:p>
            <w:pPr>
              <w:pStyle w:val="Compact"/>
              <w:jc w:val="left"/>
            </w:pPr>
            <w:r>
              <w:t xml:space="preserve">Provider</w:t>
            </w:r>
          </w:p>
        </w:tc>
        <w:tc>
          <w:tcPr/>
          <w:p>
            <w:pPr>
              <w:pStyle w:val="Compact"/>
              <w:jc w:val="left"/>
            </w:pPr>
            <w:r>
              <w:t xml:space="preserve">Approach</w:t>
            </w:r>
          </w:p>
        </w:tc>
        <w:tc>
          <w:tcPr/>
          <w:p>
            <w:pPr>
              <w:pStyle w:val="Compact"/>
              <w:jc w:val="left"/>
            </w:pPr>
            <w:r>
              <w:t xml:space="preserve">Bitcoin-Only?</w:t>
            </w:r>
          </w:p>
        </w:tc>
        <w:tc>
          <w:tcPr/>
          <w:p>
            <w:pPr>
              <w:pStyle w:val="Compact"/>
              <w:jc w:val="left"/>
            </w:pPr>
            <w:r>
              <w:t xml:space="preserve">European Availability</w:t>
            </w:r>
          </w:p>
        </w:tc>
        <w:tc>
          <w:tcPr/>
          <w:p>
            <w:pPr>
              <w:pStyle w:val="Compact"/>
              <w:jc w:val="left"/>
            </w:pPr>
            <w:r>
              <w:t xml:space="preserve">Cost</w:t>
            </w:r>
          </w:p>
        </w:tc>
      </w:tr>
      <w:tr>
        <w:tc>
          <w:tcPr/>
          <w:p>
            <w:pPr>
              <w:pStyle w:val="Compact"/>
              <w:jc w:val="left"/>
            </w:pPr>
            <w:r>
              <w:t xml:space="preserve">Casa</w:t>
            </w:r>
          </w:p>
        </w:tc>
        <w:tc>
          <w:tcPr/>
          <w:p>
            <w:pPr>
              <w:pStyle w:val="Compact"/>
              <w:jc w:val="left"/>
            </w:pPr>
            <w:r>
              <w:t xml:space="preserve">Multisig + inheritance</w:t>
            </w:r>
          </w:p>
        </w:tc>
        <w:tc>
          <w:tcPr/>
          <w:p>
            <w:pPr>
              <w:pStyle w:val="Compact"/>
              <w:jc w:val="left"/>
            </w:pPr>
            <w:r>
              <w:t xml:space="preserve">No (BTC, ETH, stablecoins)</w:t>
            </w:r>
          </w:p>
        </w:tc>
        <w:tc>
          <w:tcPr/>
          <w:p>
            <w:pPr>
              <w:pStyle w:val="Compact"/>
              <w:jc w:val="left"/>
            </w:pPr>
            <w:r>
              <w:t xml:space="preserve">Limited (US-focused)</w:t>
            </w:r>
          </w:p>
        </w:tc>
        <w:tc>
          <w:tcPr/>
          <w:p>
            <w:pPr>
              <w:pStyle w:val="Compact"/>
              <w:jc w:val="left"/>
            </w:pPr>
            <w:r>
              <w:t xml:space="preserve">$250+/year</w:t>
            </w:r>
            <w:r>
              <w:t xml:space="preserve"> </w:t>
            </w:r>
            <w:fldSimple w:instr="NOTEREF _Ref_Footnote_83 \h \f">
              <w:r>
                <w:rPr>
                  <w:vertAlign w:val="superscript"/>
                </w:rPr>
                <w:t>83</w:t>
              </w:r>
            </w:fldSimple>
          </w:p>
        </w:tc>
      </w:tr>
      <w:tr>
        <w:tc>
          <w:tcPr/>
          <w:p>
            <w:pPr>
              <w:pStyle w:val="Compact"/>
              <w:jc w:val="left"/>
            </w:pPr>
            <w:r>
              <w:t xml:space="preserve">Unchained Capital</w:t>
            </w:r>
          </w:p>
        </w:tc>
        <w:tc>
          <w:tcPr/>
          <w:p>
            <w:pPr>
              <w:pStyle w:val="Compact"/>
              <w:jc w:val="left"/>
            </w:pPr>
            <w:r>
              <w:t xml:space="preserve">Collaborative custody + inheritance</w:t>
            </w:r>
          </w:p>
        </w:tc>
        <w:tc>
          <w:tcPr/>
          <w:p>
            <w:pPr>
              <w:pStyle w:val="Compact"/>
              <w:jc w:val="left"/>
            </w:pPr>
            <w:r>
              <w:t xml:space="preserve">Bitcoin-focused (but includes ETH)</w:t>
            </w:r>
          </w:p>
        </w:tc>
        <w:tc>
          <w:tcPr/>
          <w:p>
            <w:pPr>
              <w:pStyle w:val="Compact"/>
              <w:jc w:val="left"/>
            </w:pPr>
            <w:r>
              <w:t xml:space="preserve">US only</w:t>
            </w:r>
          </w:p>
        </w:tc>
        <w:tc>
          <w:tcPr/>
          <w:p>
            <w:pPr>
              <w:pStyle w:val="Compact"/>
              <w:jc w:val="left"/>
            </w:pPr>
            <w:r>
              <w:t xml:space="preserve">$750+/year</w:t>
            </w:r>
            <w:r>
              <w:t xml:space="preserve"> </w:t>
            </w:r>
            <w:fldSimple w:instr="NOTEREF _Ref_Footnote_84 \h \f">
              <w:r>
                <w:rPr>
                  <w:vertAlign w:val="superscript"/>
                </w:rPr>
                <w:t>84</w:t>
              </w:r>
            </w:fldSimple>
          </w:p>
        </w:tc>
      </w:tr>
      <w:tr>
        <w:tc>
          <w:tcPr/>
          <w:p>
            <w:pPr>
              <w:pStyle w:val="Compact"/>
              <w:jc w:val="left"/>
            </w:pPr>
            <w:r>
              <w:t xml:space="preserve">Nunchuk</w:t>
            </w:r>
          </w:p>
        </w:tc>
        <w:tc>
          <w:tcPr/>
          <w:p>
            <w:pPr>
              <w:pStyle w:val="Compact"/>
              <w:jc w:val="left"/>
            </w:pPr>
            <w:r>
              <w:t xml:space="preserve">On-chain multisig inheritance</w:t>
            </w:r>
          </w:p>
        </w:tc>
        <w:tc>
          <w:tcPr/>
          <w:p>
            <w:pPr>
              <w:pStyle w:val="Compact"/>
              <w:jc w:val="left"/>
            </w:pPr>
            <w:r>
              <w:t xml:space="preserve">Bitcoin-only</w:t>
            </w:r>
          </w:p>
        </w:tc>
        <w:tc>
          <w:tcPr/>
          <w:p>
            <w:pPr>
              <w:pStyle w:val="Compact"/>
              <w:jc w:val="left"/>
            </w:pPr>
            <w:r>
              <w:t xml:space="preserve">Global app</w:t>
            </w:r>
          </w:p>
        </w:tc>
        <w:tc>
          <w:tcPr/>
          <w:p>
            <w:pPr>
              <w:pStyle w:val="Compact"/>
              <w:jc w:val="left"/>
            </w:pPr>
            <w:r>
              <w:t xml:space="preserve">$480/year (top plan)</w:t>
            </w:r>
            <w:r>
              <w:t xml:space="preserve"> </w:t>
            </w:r>
            <w:fldSimple w:instr="NOTEREF _Ref_Footnote_85 \h \f">
              <w:r>
                <w:rPr>
                  <w:vertAlign w:val="superscript"/>
                </w:rPr>
                <w:t>85</w:t>
              </w:r>
            </w:fldSimple>
          </w:p>
        </w:tc>
      </w:tr>
      <w:tr>
        <w:tc>
          <w:tcPr/>
          <w:p>
            <w:pPr>
              <w:pStyle w:val="Compact"/>
              <w:jc w:val="left"/>
            </w:pPr>
            <w:r>
              <w:t xml:space="preserve">Bitkey</w:t>
            </w:r>
          </w:p>
        </w:tc>
        <w:tc>
          <w:tcPr/>
          <w:p>
            <w:pPr>
              <w:pStyle w:val="Compact"/>
              <w:jc w:val="left"/>
            </w:pPr>
            <w:r>
              <w:t xml:space="preserve">Hardware + inheritance</w:t>
            </w:r>
          </w:p>
        </w:tc>
        <w:tc>
          <w:tcPr/>
          <w:p>
            <w:pPr>
              <w:pStyle w:val="Compact"/>
              <w:jc w:val="left"/>
            </w:pPr>
            <w:r>
              <w:t xml:space="preserve">Bitcoin-only</w:t>
            </w:r>
          </w:p>
        </w:tc>
        <w:tc>
          <w:tcPr/>
          <w:p>
            <w:pPr>
              <w:pStyle w:val="Compact"/>
              <w:jc w:val="left"/>
            </w:pPr>
            <w:r>
              <w:t xml:space="preserve">Limited regions</w:t>
            </w:r>
          </w:p>
        </w:tc>
        <w:tc>
          <w:tcPr/>
          <w:p>
            <w:pPr>
              <w:pStyle w:val="Compact"/>
              <w:jc w:val="left"/>
            </w:pPr>
            <w:r>
              <w:t xml:space="preserve">Hardware cost</w:t>
            </w:r>
          </w:p>
        </w:tc>
      </w:tr>
      <w:tr>
        <w:tc>
          <w:tcPr/>
          <w:p>
            <w:pPr>
              <w:pStyle w:val="Compact"/>
              <w:jc w:val="left"/>
            </w:pPr>
            <w:r>
              <w:rPr>
                <w:bCs/>
                <w:b/>
              </w:rPr>
              <w:t xml:space="preserve">GAP</w:t>
            </w:r>
          </w:p>
        </w:tc>
        <w:tc>
          <w:tcPr/>
          <w:p>
            <w:pPr>
              <w:pStyle w:val="Compact"/>
              <w:jc w:val="left"/>
            </w:pPr>
            <w:r>
              <w:rPr>
                <w:bCs/>
                <w:b/>
              </w:rPr>
              <w:t xml:space="preserve">Full-service Bitcoin inheritance for EU</w:t>
            </w:r>
          </w:p>
        </w:tc>
        <w:tc>
          <w:tcPr/>
          <w:p>
            <w:pPr>
              <w:pStyle w:val="Compact"/>
              <w:jc w:val="left"/>
            </w:pPr>
            <w:r>
              <w:rPr>
                <w:bCs/>
                <w:b/>
              </w:rPr>
              <w:t xml:space="preserve">None at scale</w:t>
            </w:r>
          </w:p>
        </w:tc>
        <w:tc>
          <w:tcPr/>
          <w:p>
            <w:pPr>
              <w:pStyle w:val="Compact"/>
              <w:jc w:val="left"/>
            </w:pPr>
            <w:r>
              <w:rPr>
                <w:bCs/>
                <w:b/>
              </w:rPr>
              <w:t xml:space="preserve">EU-wide</w:t>
            </w:r>
          </w:p>
        </w:tc>
        <w:tc>
          <w:tcPr/>
          <w:p>
            <w:pPr>
              <w:pStyle w:val="Compact"/>
              <w:jc w:val="left"/>
            </w:pPr>
            <w:r>
              <w:rPr>
                <w:bCs/>
                <w:b/>
              </w:rPr>
              <w:t xml:space="preserve">Market rate</w:t>
            </w:r>
          </w:p>
        </w:tc>
      </w:tr>
    </w:tbl>
    <w:bookmarkEnd w:id="62"/>
    <w:bookmarkStart w:id="63" w:name="why-bitcoin-only-wins-2"/>
    <w:p>
      <w:pPr>
        <w:pStyle w:val="Heading3"/>
      </w:pPr>
      <w:r>
        <w:t xml:space="preserve">Why Bitcoin-Only Wins</w:t>
      </w:r>
    </w:p>
    <w:p>
      <w:pPr>
        <w:numPr>
          <w:ilvl w:val="0"/>
          <w:numId w:val="1027"/>
        </w:numPr>
        <w:pStyle w:val="Compact"/>
      </w:pPr>
      <w:r>
        <w:rPr>
          <w:bCs/>
          <w:b/>
        </w:rPr>
        <w:t xml:space="preserve">Technical specificity</w:t>
      </w:r>
      <w:r>
        <w:t xml:space="preserve">: Bitcoin inheritance requires deep understanding of seed phrases, multi-sig, timelocks, and hardware wallets — fundamentally different from exchange-based altcoin holdings</w:t>
      </w:r>
    </w:p>
    <w:p>
      <w:pPr>
        <w:numPr>
          <w:ilvl w:val="0"/>
          <w:numId w:val="1027"/>
        </w:numPr>
        <w:pStyle w:val="Compact"/>
      </w:pPr>
      <w:r>
        <w:rPr>
          <w:bCs/>
          <w:b/>
        </w:rPr>
        <w:t xml:space="preserve">Self-custody ethos</w:t>
      </w:r>
      <w:r>
        <w:t xml:space="preserve">: Bitcoin holders predominantly self-custody (42% of family offices use cold wallets)</w:t>
      </w:r>
      <w:r>
        <w:t xml:space="preserve"> </w:t>
      </w:r>
      <w:r>
        <w:rPr>
          <w:vertAlign w:val="superscript"/>
        </w:rPr>
        <w:footnoteReference w:id="86"/>
      </w:r>
      <w:r>
        <w:t xml:space="preserve">, making inheritance planning technically complex and Bitcoin-specific</w:t>
      </w:r>
    </w:p>
    <w:p>
      <w:pPr>
        <w:numPr>
          <w:ilvl w:val="0"/>
          <w:numId w:val="1027"/>
        </w:numPr>
        <w:pStyle w:val="Compact"/>
      </w:pPr>
      <w:r>
        <w:rPr>
          <w:bCs/>
          <w:b/>
        </w:rPr>
        <w:t xml:space="preserve">Legal clarity</w:t>
      </w:r>
      <w:r>
        <w:t xml:space="preserve">: Bitcoin’s commodity classification provides clearer inheritance treatment across European jurisdictions than security-classified tokens</w:t>
      </w:r>
    </w:p>
    <w:p>
      <w:pPr>
        <w:numPr>
          <w:ilvl w:val="0"/>
          <w:numId w:val="1027"/>
        </w:numPr>
        <w:pStyle w:val="Compact"/>
      </w:pPr>
      <w:r>
        <w:rPr>
          <w:bCs/>
          <w:b/>
        </w:rPr>
        <w:t xml:space="preserve">Privacy considerations</w:t>
      </w:r>
      <w:r>
        <w:t xml:space="preserve">: Bitcoin inheritance must balance privacy (not revealing keys in wills) with accessibility — a Bitcoin-specific challenge</w:t>
      </w:r>
    </w:p>
    <w:p>
      <w:pPr>
        <w:numPr>
          <w:ilvl w:val="0"/>
          <w:numId w:val="1027"/>
        </w:numPr>
        <w:pStyle w:val="Compact"/>
      </w:pPr>
      <w:r>
        <w:rPr>
          <w:bCs/>
          <w:b/>
        </w:rPr>
        <w:t xml:space="preserve">Multi-generational education</w:t>
      </w:r>
      <w:r>
        <w:t xml:space="preserve">: Bitcoin inheritance requires educating non-technical heirs, a specialized service distinct from traditional estate planning</w:t>
      </w:r>
    </w:p>
    <w:bookmarkEnd w:id="63"/>
    <w:bookmarkStart w:id="64" w:name="barriers-to-entry-2"/>
    <w:p>
      <w:pPr>
        <w:pStyle w:val="Heading3"/>
      </w:pPr>
      <w:r>
        <w:t xml:space="preserve">Barriers to Entry</w:t>
      </w:r>
    </w:p>
    <w:tbl>
      <w:tblPr>
        <w:tblStyle w:val="Table"/>
        <w:tblW w:type="pct" w:w="5000"/>
        <w:tblLook w:firstRow="1" w:lastRow="0" w:firstColumn="0" w:lastColumn="0" w:noHBand="0" w:noVBand="0" w:val="0020"/>
      </w:tblPr>
      <w:tblGrid>
        <w:gridCol w:w="2299"/>
        <w:gridCol w:w="2554"/>
        <w:gridCol w:w="3065"/>
      </w:tblGrid>
      <w:tr>
        <w:trPr>
          <w:tblHeader w:val="true"/>
        </w:trPr>
        <w:tc>
          <w:tcPr/>
          <w:p>
            <w:pPr>
              <w:pStyle w:val="Compact"/>
              <w:jc w:val="left"/>
            </w:pPr>
            <w:r>
              <w:t xml:space="preserve">Barrier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Cross-border legal complexity (27 EU member states)</w:t>
            </w:r>
          </w:p>
        </w:tc>
        <w:tc>
          <w:tcPr/>
          <w:p>
            <w:pPr>
              <w:pStyle w:val="Compact"/>
              <w:jc w:val="left"/>
            </w:pPr>
            <w:r>
              <w:t xml:space="preserve">High</w:t>
            </w:r>
          </w:p>
        </w:tc>
        <w:tc>
          <w:tcPr/>
          <w:p>
            <w:pPr>
              <w:pStyle w:val="Compact"/>
              <w:jc w:val="left"/>
            </w:pPr>
            <w:r>
              <w:t xml:space="preserve">Jurisdiction-by-jurisdiction template library; legal partnerships</w:t>
            </w:r>
          </w:p>
        </w:tc>
      </w:tr>
      <w:tr>
        <w:tc>
          <w:tcPr/>
          <w:p>
            <w:pPr>
              <w:pStyle w:val="Compact"/>
              <w:jc w:val="left"/>
            </w:pPr>
            <w:r>
              <w:t xml:space="preserve">Decades-long business viability trust requirement</w:t>
            </w:r>
          </w:p>
        </w:tc>
        <w:tc>
          <w:tcPr/>
          <w:p>
            <w:pPr>
              <w:pStyle w:val="Compact"/>
              <w:jc w:val="left"/>
            </w:pPr>
            <w:r>
              <w:t xml:space="preserve">High</w:t>
            </w:r>
          </w:p>
        </w:tc>
        <w:tc>
          <w:tcPr/>
          <w:p>
            <w:pPr>
              <w:pStyle w:val="Compact"/>
              <w:jc w:val="left"/>
            </w:pPr>
            <w:r>
              <w:t xml:space="preserve">On-chain enforcement ensuring plan outlives the company</w:t>
            </w:r>
            <w:r>
              <w:t xml:space="preserve"> </w:t>
            </w:r>
            <w:fldSimple w:instr="NOTEREF _Ref_Footnote_85 \h \f">
              <w:r>
                <w:rPr>
                  <w:vertAlign w:val="superscript"/>
                </w:rPr>
                <w:t>85</w:t>
              </w:r>
            </w:fldSimple>
          </w:p>
        </w:tc>
      </w:tr>
      <w:tr>
        <w:tc>
          <w:tcPr/>
          <w:p>
            <w:pPr>
              <w:pStyle w:val="Compact"/>
              <w:jc w:val="left"/>
            </w:pPr>
            <w:r>
              <w:t xml:space="preserve">Technical complexity (multisig, timelocks, hardware wallets)</w:t>
            </w:r>
          </w:p>
        </w:tc>
        <w:tc>
          <w:tcPr/>
          <w:p>
            <w:pPr>
              <w:pStyle w:val="Compact"/>
              <w:jc w:val="left"/>
            </w:pPr>
            <w:r>
              <w:t xml:space="preserve">Medium</w:t>
            </w:r>
          </w:p>
        </w:tc>
        <w:tc>
          <w:tcPr/>
          <w:p>
            <w:pPr>
              <w:pStyle w:val="Compact"/>
              <w:jc w:val="left"/>
            </w:pPr>
            <w:r>
              <w:t xml:space="preserve">Partnership with hardware wallet manufacturers</w:t>
            </w:r>
          </w:p>
        </w:tc>
      </w:tr>
      <w:tr>
        <w:tc>
          <w:tcPr/>
          <w:p>
            <w:pPr>
              <w:pStyle w:val="Compact"/>
              <w:jc w:val="left"/>
            </w:pPr>
            <w:r>
              <w:t xml:space="preserve">Estate lawyer education requirement</w:t>
            </w:r>
          </w:p>
        </w:tc>
        <w:tc>
          <w:tcPr/>
          <w:p>
            <w:pPr>
              <w:pStyle w:val="Compact"/>
              <w:jc w:val="left"/>
            </w:pPr>
            <w:r>
              <w:t xml:space="preserve">Medium</w:t>
            </w:r>
          </w:p>
        </w:tc>
        <w:tc>
          <w:tcPr/>
          <w:p>
            <w:pPr>
              <w:pStyle w:val="Compact"/>
              <w:jc w:val="left"/>
            </w:pPr>
            <w:r>
              <w:t xml:space="preserve">Bitcoin certification program for legal professionals</w:t>
            </w:r>
          </w:p>
        </w:tc>
      </w:tr>
      <w:tr>
        <w:tc>
          <w:tcPr/>
          <w:p>
            <w:pPr>
              <w:pStyle w:val="Compact"/>
              <w:jc w:val="left"/>
            </w:pPr>
            <w:r>
              <w:t xml:space="preserve">Regulatory (trust/fiduciary licensing in some jurisdictions)</w:t>
            </w:r>
          </w:p>
        </w:tc>
        <w:tc>
          <w:tcPr/>
          <w:p>
            <w:pPr>
              <w:pStyle w:val="Compact"/>
              <w:jc w:val="left"/>
            </w:pPr>
            <w:r>
              <w:t xml:space="preserve">Medium</w:t>
            </w:r>
          </w:p>
        </w:tc>
        <w:tc>
          <w:tcPr/>
          <w:p>
            <w:pPr>
              <w:pStyle w:val="Compact"/>
              <w:jc w:val="left"/>
            </w:pPr>
            <w:r>
              <w:t xml:space="preserve">Jurisdiction selection; partnership model</w:t>
            </w:r>
          </w:p>
        </w:tc>
      </w:tr>
    </w:tbl>
    <w:p>
      <w:r>
        <w:pict>
          <v:rect style="width:0;height:1.5pt" o:hralign="center" o:hrstd="t" o:hr="t"/>
        </w:pict>
      </w:r>
    </w:p>
    <w:bookmarkEnd w:id="64"/>
    <w:bookmarkEnd w:id="65"/>
    <w:bookmarkStart w:id="70" w:name="Xa73afc27db08ede9d1a1111b3ce6398e79baa90"/>
    <w:p>
      <w:pPr>
        <w:pStyle w:val="Heading2"/>
      </w:pPr>
      <w:r>
        <w:t xml:space="preserve">3.4 Opportunity 4: Bitcoin Education and Professional Certification</w:t>
      </w:r>
    </w:p>
    <w:bookmarkStart w:id="66" w:name="gap-description-3"/>
    <w:p>
      <w:pPr>
        <w:pStyle w:val="Heading3"/>
      </w:pPr>
      <w:r>
        <w:t xml:space="preserve">Gap Description</w:t>
      </w:r>
    </w:p>
    <w:p>
      <w:pPr>
        <w:pStyle w:val="FirstParagraph"/>
      </w:pPr>
      <w:r>
        <w:t xml:space="preserve">The European cryptocurrency education market is valued at approximately USD 870 million (27.4% of the global market)</w:t>
      </w:r>
      <w:r>
        <w:t xml:space="preserve"> </w:t>
      </w:r>
      <w:r>
        <w:rPr>
          <w:vertAlign w:val="superscript"/>
        </w:rPr>
        <w:footnoteReference w:id="87"/>
      </w:r>
      <w:r>
        <w:t xml:space="preserve">, yet it is overwhelmingly focused on general</w:t>
      </w:r>
      <w:r>
        <w:t xml:space="preserve"> </w:t>
      </w:r>
      <w:r>
        <w:t xml:space="preserve">“</w:t>
      </w:r>
      <w:r>
        <w:t xml:space="preserve">crypto</w:t>
      </w:r>
      <w:r>
        <w:t xml:space="preserve">”</w:t>
      </w:r>
      <w:r>
        <w:t xml:space="preserve"> </w:t>
      </w:r>
      <w:r>
        <w:t xml:space="preserve">and</w:t>
      </w:r>
      <w:r>
        <w:t xml:space="preserve"> </w:t>
      </w:r>
      <w:r>
        <w:t xml:space="preserve">“</w:t>
      </w:r>
      <w:r>
        <w:t xml:space="preserve">blockchain</w:t>
      </w:r>
      <w:r>
        <w:t xml:space="preserve">”</w:t>
      </w:r>
      <w:r>
        <w:t xml:space="preserve"> </w:t>
      </w:r>
      <w:r>
        <w:t xml:space="preserve">education rather than Bitcoin-specific professional certification. MiCA requires CASPs to have</w:t>
      </w:r>
      <w:r>
        <w:t xml:space="preserve"> </w:t>
      </w:r>
      <w:r>
        <w:t xml:space="preserve">“</w:t>
      </w:r>
      <w:r>
        <w:t xml:space="preserve">key personnel with sufficient knowledge, competence, and experience</w:t>
      </w:r>
      <w:r>
        <w:t xml:space="preserve">”</w:t>
      </w:r>
      <w:r>
        <w:t xml:space="preserve"> </w:t>
      </w:r>
      <w:r>
        <w:t xml:space="preserve">and</w:t>
      </w:r>
      <w:r>
        <w:t xml:space="preserve"> </w:t>
      </w:r>
      <w:r>
        <w:t xml:space="preserve">“</w:t>
      </w:r>
      <w:r>
        <w:t xml:space="preserve">staff training and development</w:t>
      </w:r>
      <w:r>
        <w:t xml:space="preserve">”</w:t>
      </w:r>
      <w:r>
        <w:t xml:space="preserve"> </w:t>
      </w:r>
      <w:r>
        <w:t xml:space="preserve">programs</w:t>
      </w:r>
      <w:r>
        <w:t xml:space="preserve"> </w:t>
      </w:r>
      <w:fldSimple w:instr="NOTEREF _Ref_Footnote_78 \h \f">
        <w:r>
          <w:rPr>
            <w:vertAlign w:val="superscript"/>
          </w:rPr>
          <w:t>78</w:t>
        </w:r>
      </w:fldSimple>
      <w:r>
        <w:t xml:space="preserve">, yet no comprehensive Bitcoin-only education platform combines technical knowledge, financial advisory skills, and European regulatory compliance. The Certified Bitcoin Professional (CBP) from C4 exists but is globally oriented, not Europe-specific, and lacks MiCA compliance integration</w:t>
      </w:r>
      <w:r>
        <w:t xml:space="preserve"> </w:t>
      </w:r>
      <w:r>
        <w:rPr>
          <w:vertAlign w:val="superscript"/>
        </w:rPr>
        <w:footnoteReference w:id="88"/>
      </w:r>
      <w:r>
        <w:t xml:space="preserve">.</w:t>
      </w:r>
    </w:p>
    <w:bookmarkEnd w:id="66"/>
    <w:bookmarkStart w:id="67" w:name="addressable-market-size-3"/>
    <w:p>
      <w:pPr>
        <w:pStyle w:val="Heading3"/>
      </w:pPr>
      <w:r>
        <w:t xml:space="preserve">Addressable Market Size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European crypto education market</w:t>
            </w:r>
          </w:p>
        </w:tc>
        <w:tc>
          <w:tcPr/>
          <w:p>
            <w:pPr>
              <w:pStyle w:val="Compact"/>
              <w:jc w:val="left"/>
            </w:pPr>
            <w:r>
              <w:t xml:space="preserve">USD 870M (27.4% of USD 3.2B global)</w:t>
            </w:r>
          </w:p>
        </w:tc>
        <w:tc>
          <w:tcPr/>
          <w:p>
            <w:pPr>
              <w:pStyle w:val="Compact"/>
              <w:jc w:val="left"/>
            </w:pPr>
            <w:fldSimple w:instr="NOTEREF _Ref_Footnote_87 \h \f">
              <w:r>
                <w:rPr>
                  <w:vertAlign w:val="superscript"/>
                </w:rPr>
                <w:t>87</w:t>
              </w:r>
            </w:fldSimple>
          </w:p>
        </w:tc>
      </w:tr>
      <w:tr>
        <w:tc>
          <w:tcPr/>
          <w:p>
            <w:pPr>
              <w:pStyle w:val="Compact"/>
              <w:jc w:val="left"/>
            </w:pPr>
            <w:r>
              <w:t xml:space="preserve">Global market CAGR</w:t>
            </w:r>
          </w:p>
        </w:tc>
        <w:tc>
          <w:tcPr/>
          <w:p>
            <w:pPr>
              <w:pStyle w:val="Compact"/>
              <w:jc w:val="left"/>
            </w:pPr>
            <w:r>
              <w:t xml:space="preserve">14.9%</w:t>
            </w:r>
          </w:p>
        </w:tc>
        <w:tc>
          <w:tcPr/>
          <w:p>
            <w:pPr>
              <w:pStyle w:val="Compact"/>
              <w:jc w:val="left"/>
            </w:pPr>
            <w:fldSimple w:instr="NOTEREF _Ref_Footnote_87 \h \f">
              <w:r>
                <w:rPr>
                  <w:vertAlign w:val="superscript"/>
                </w:rPr>
                <w:t>87</w:t>
              </w:r>
            </w:fldSimple>
          </w:p>
        </w:tc>
      </w:tr>
      <w:tr>
        <w:tc>
          <w:tcPr/>
          <w:p>
            <w:pPr>
              <w:pStyle w:val="Compact"/>
              <w:jc w:val="left"/>
            </w:pPr>
            <w:r>
              <w:t xml:space="preserve">Certification segment CAGR</w:t>
            </w:r>
          </w:p>
        </w:tc>
        <w:tc>
          <w:tcPr/>
          <w:p>
            <w:pPr>
              <w:pStyle w:val="Compact"/>
              <w:jc w:val="left"/>
            </w:pPr>
            <w:r>
              <w:t xml:space="preserve">18.7% (fastest-growing globally)</w:t>
            </w:r>
          </w:p>
        </w:tc>
        <w:tc>
          <w:tcPr/>
          <w:p>
            <w:pPr>
              <w:pStyle w:val="Compact"/>
              <w:jc w:val="left"/>
            </w:pPr>
            <w:fldSimple w:instr="NOTEREF _Ref_Footnote_87 \h \f">
              <w:r>
                <w:rPr>
                  <w:vertAlign w:val="superscript"/>
                </w:rPr>
                <w:t>87</w:t>
              </w:r>
            </w:fldSimple>
          </w:p>
        </w:tc>
      </w:tr>
      <w:tr>
        <w:tc>
          <w:tcPr/>
          <w:p>
            <w:pPr>
              <w:pStyle w:val="Compact"/>
              <w:jc w:val="left"/>
            </w:pPr>
            <w:r>
              <w:t xml:space="preserve">MiCA compliance training share</w:t>
            </w:r>
          </w:p>
        </w:tc>
        <w:tc>
          <w:tcPr/>
          <w:p>
            <w:pPr>
              <w:pStyle w:val="Compact"/>
              <w:jc w:val="left"/>
            </w:pPr>
            <w:r>
              <w:t xml:space="preserve">19% of total enrollment by 2026</w:t>
            </w:r>
          </w:p>
        </w:tc>
        <w:tc>
          <w:tcPr/>
          <w:p>
            <w:pPr>
              <w:pStyle w:val="Compact"/>
              <w:jc w:val="left"/>
            </w:pPr>
            <w:r>
              <w:rPr>
                <w:vertAlign w:val="superscript"/>
              </w:rPr>
              <w:footnoteReference w:id="89"/>
            </w:r>
          </w:p>
        </w:tc>
      </w:tr>
      <w:tr>
        <w:tc>
          <w:tcPr/>
          <w:p>
            <w:pPr>
              <w:pStyle w:val="Compact"/>
              <w:jc w:val="left"/>
            </w:pPr>
            <w:r>
              <w:t xml:space="preserve">Corporate training for financial institutions</w:t>
            </w:r>
          </w:p>
        </w:tc>
        <w:tc>
          <w:tcPr/>
          <w:p>
            <w:pPr>
              <w:pStyle w:val="Compact"/>
              <w:jc w:val="left"/>
            </w:pPr>
            <w:r>
              <w:t xml:space="preserve">19.6% of learners; 18.7% CAGR</w:t>
            </w:r>
          </w:p>
        </w:tc>
        <w:tc>
          <w:tcPr/>
          <w:p>
            <w:pPr>
              <w:pStyle w:val="Compact"/>
              <w:jc w:val="left"/>
            </w:pPr>
            <w:fldSimple w:instr="NOTEREF _Ref_Footnote_89 \h \f">
              <w:r>
                <w:rPr>
                  <w:vertAlign w:val="superscript"/>
                </w:rPr>
                <w:t>89</w:t>
              </w:r>
            </w:fldSimple>
          </w:p>
        </w:tc>
      </w:tr>
      <w:tr>
        <w:tc>
          <w:tcPr/>
          <w:p>
            <w:pPr>
              <w:pStyle w:val="Compact"/>
              <w:jc w:val="left"/>
            </w:pPr>
            <w:r>
              <w:t xml:space="preserve">Professional certification programs</w:t>
            </w:r>
          </w:p>
        </w:tc>
        <w:tc>
          <w:tcPr/>
          <w:p>
            <w:pPr>
              <w:pStyle w:val="Compact"/>
              <w:jc w:val="left"/>
            </w:pPr>
            <w:r>
              <w:t xml:space="preserve">24.7% of market; 18.4% CAGR</w:t>
            </w:r>
          </w:p>
        </w:tc>
        <w:tc>
          <w:tcPr/>
          <w:p>
            <w:pPr>
              <w:pStyle w:val="Compact"/>
              <w:jc w:val="left"/>
            </w:pPr>
            <w:fldSimple w:instr="NOTEREF _Ref_Footnote_89 \h \f">
              <w:r>
                <w:rPr>
                  <w:vertAlign w:val="superscript"/>
                </w:rPr>
                <w:t>89</w:t>
              </w:r>
            </w:fldSimple>
          </w:p>
        </w:tc>
      </w:tr>
      <w:tr>
        <w:tc>
          <w:tcPr/>
          <w:p>
            <w:pPr>
              <w:pStyle w:val="Compact"/>
              <w:jc w:val="left"/>
            </w:pPr>
            <w:r>
              <w:t xml:space="preserve">Bitcoin-specific segment (est. 20-30% of total)</w:t>
            </w:r>
          </w:p>
        </w:tc>
        <w:tc>
          <w:tcPr/>
          <w:p>
            <w:pPr>
              <w:pStyle w:val="Compact"/>
              <w:jc w:val="left"/>
            </w:pPr>
            <w:r>
              <w:t xml:space="preserve">USD 175-260M</w:t>
            </w:r>
          </w:p>
        </w:tc>
        <w:tc>
          <w:tcPr/>
          <w:p>
            <w:pPr>
              <w:pStyle w:val="Compact"/>
              <w:jc w:val="left"/>
            </w:pPr>
            <w:fldSimple w:instr="NOTEREF _Ref_Footnote_87 \h \f">
              <w:r>
                <w:rPr>
                  <w:vertAlign w:val="superscript"/>
                </w:rPr>
                <w:t>87</w:t>
              </w:r>
            </w:fldSimple>
          </w:p>
        </w:tc>
      </w:tr>
      <w:tr>
        <w:tc>
          <w:tcPr/>
          <w:p>
            <w:pPr>
              <w:pStyle w:val="Compact"/>
              <w:jc w:val="left"/>
            </w:pPr>
            <w:r>
              <w:t xml:space="preserve">MiCA compliance training opportunity</w:t>
            </w:r>
          </w:p>
        </w:tc>
        <w:tc>
          <w:tcPr/>
          <w:p>
            <w:pPr>
              <w:pStyle w:val="Compact"/>
              <w:jc w:val="left"/>
            </w:pPr>
            <w:r>
              <w:t xml:space="preserve">USD 165M</w:t>
            </w:r>
          </w:p>
        </w:tc>
        <w:tc>
          <w:tcPr/>
          <w:p>
            <w:pPr>
              <w:pStyle w:val="Compact"/>
              <w:jc w:val="left"/>
            </w:pPr>
            <w:fldSimple w:instr="NOTEREF _Ref_Footnote_89 \h \f">
              <w:r>
                <w:rPr>
                  <w:vertAlign w:val="superscript"/>
                </w:rPr>
                <w:t>89</w:t>
              </w:r>
            </w:fldSimple>
          </w:p>
        </w:tc>
      </w:tr>
      <w:tr>
        <w:tc>
          <w:tcPr/>
          <w:p>
            <w:pPr>
              <w:pStyle w:val="Compact"/>
              <w:jc w:val="left"/>
            </w:pPr>
            <w:r>
              <w:rPr>
                <w:bCs/>
                <w:b/>
              </w:rPr>
              <w:t xml:space="preserve">Serviceable market for Bitcoin-only platform</w:t>
            </w:r>
          </w:p>
        </w:tc>
        <w:tc>
          <w:tcPr/>
          <w:p>
            <w:pPr>
              <w:pStyle w:val="Compact"/>
              <w:jc w:val="left"/>
            </w:pPr>
            <w:r>
              <w:rPr>
                <w:bCs/>
                <w:b/>
              </w:rPr>
              <w:t xml:space="preserve">USD 15-30M annually (2026)</w:t>
            </w:r>
          </w:p>
        </w:tc>
        <w:tc>
          <w:tcPr/>
          <w:p>
            <w:pPr>
              <w:pStyle w:val="Compact"/>
              <w:jc w:val="left"/>
            </w:pPr>
            <w:fldSimple w:instr="NOTEREF _Ref_Footnote_87 \h \f">
              <w:r>
                <w:rPr>
                  <w:vertAlign w:val="superscript"/>
                </w:rPr>
                <w:t>87</w:t>
              </w:r>
            </w:fldSimple>
            <w:r>
              <w:t xml:space="preserve"> </w:t>
            </w:r>
            <w:fldSimple w:instr="NOTEREF _Ref_Footnote_89 \h \f">
              <w:r>
                <w:rPr>
                  <w:vertAlign w:val="superscript"/>
                </w:rPr>
                <w:t>89</w:t>
              </w:r>
            </w:fldSimple>
          </w:p>
        </w:tc>
      </w:tr>
    </w:tbl>
    <w:bookmarkEnd w:id="67"/>
    <w:bookmarkStart w:id="68" w:name="evidence-of-demand-3"/>
    <w:p>
      <w:pPr>
        <w:pStyle w:val="Heading3"/>
      </w:pPr>
      <w:r>
        <w:t xml:space="preserve">Evidence of Demand</w:t>
      </w:r>
    </w:p>
    <w:p>
      <w:pPr>
        <w:numPr>
          <w:ilvl w:val="0"/>
          <w:numId w:val="1028"/>
        </w:numPr>
        <w:pStyle w:val="Compact"/>
      </w:pPr>
      <w:r>
        <w:rPr>
          <w:bCs/>
          <w:b/>
        </w:rPr>
        <w:t xml:space="preserve">58% of family offices are undecided</w:t>
      </w:r>
      <w:r>
        <w:t xml:space="preserve"> </w:t>
      </w:r>
      <w:r>
        <w:t xml:space="preserve">about which digital asset investment vehicles to explore,</w:t>
      </w:r>
      <w:r>
        <w:t xml:space="preserve"> </w:t>
      </w:r>
      <w:r>
        <w:t xml:space="preserve">“</w:t>
      </w:r>
      <w:r>
        <w:t xml:space="preserve">underscoring family offices’ ongoing need for education</w:t>
      </w:r>
      <w:r>
        <w:t xml:space="preserve">”</w:t>
      </w:r>
      <w:r>
        <w:t xml:space="preserve"> </w:t>
      </w:r>
      <w:fldSimple w:instr="NOTEREF _Ref_Footnote_73 \h \f">
        <w:r>
          <w:rPr>
            <w:vertAlign w:val="superscript"/>
          </w:rPr>
          <w:t>73</w:t>
        </w:r>
      </w:fldSimple>
      <w:r>
        <w:t xml:space="preserve">- European family offices have the</w:t>
      </w:r>
      <w:r>
        <w:t xml:space="preserve"> </w:t>
      </w:r>
      <w:r>
        <w:rPr>
          <w:bCs/>
          <w:b/>
        </w:rPr>
        <w:t xml:space="preserve">lowest crypto adoption rate (14%) of any region</w:t>
      </w:r>
      <w:r>
        <w:t xml:space="preserve">, directly correlated with education gaps</w:t>
      </w:r>
      <w:r>
        <w:t xml:space="preserve"> </w:t>
      </w:r>
      <w:fldSimple w:instr="NOTEREF _Ref_Footnote_71 \h \f">
        <w:r>
          <w:rPr>
            <w:vertAlign w:val="superscript"/>
          </w:rPr>
          <w:t>71</w:t>
        </w:r>
      </w:fldSimple>
      <w:r>
        <w:t xml:space="preserve">- MiCA implementation created</w:t>
      </w:r>
      <w:r>
        <w:t xml:space="preserve"> </w:t>
      </w:r>
      <w:r>
        <w:t xml:space="preserve">“</w:t>
      </w:r>
      <w:r>
        <w:t xml:space="preserve">structured compliance education requirements for financial service firms operating across the EU</w:t>
      </w:r>
      <w:r>
        <w:t xml:space="preserve">”</w:t>
      </w:r>
      <w:r>
        <w:t xml:space="preserve"> </w:t>
      </w:r>
      <w:fldSimple w:instr="NOTEREF _Ref_Footnote_87 \h \f">
        <w:r>
          <w:rPr>
            <w:vertAlign w:val="superscript"/>
          </w:rPr>
          <w:t>87</w:t>
        </w:r>
      </w:fldSimple>
      <w:r>
        <w:t xml:space="preserve">-</w:t>
      </w:r>
      <w:r>
        <w:t xml:space="preserve"> </w:t>
      </w:r>
      <w:r>
        <w:rPr>
          <w:bCs/>
          <w:b/>
        </w:rPr>
        <w:t xml:space="preserve">Over 50 crypto firms had licenses revoked by February 2025</w:t>
      </w:r>
      <w:r>
        <w:t xml:space="preserve"> </w:t>
      </w:r>
      <w:r>
        <w:t xml:space="preserve">due to compliance failures, demonstrating critical education need</w:t>
      </w:r>
      <w:r>
        <w:t xml:space="preserve"> </w:t>
      </w:r>
      <w:r>
        <w:rPr>
          <w:vertAlign w:val="superscript"/>
        </w:rPr>
        <w:footnoteReference w:id="90"/>
      </w:r>
      <w:r>
        <w:t xml:space="preserve">- MiCA requires dedicated compliance officers, staff training, and senior management education on governance responsibilities</w:t>
      </w:r>
      <w:r>
        <w:t xml:space="preserve"> </w:t>
      </w:r>
      <w:fldSimple w:instr="NOTEREF _Ref_Footnote_78 \h \f">
        <w:r>
          <w:rPr>
            <w:vertAlign w:val="superscript"/>
          </w:rPr>
          <w:t>78</w:t>
        </w:r>
      </w:fldSimple>
      <w:r>
        <w:t xml:space="preserve">- EU blockchain equity funding gap estimated at</w:t>
      </w:r>
      <w:r>
        <w:t xml:space="preserve"> </w:t>
      </w:r>
      <w:r>
        <w:rPr>
          <w:bCs/>
          <w:b/>
        </w:rPr>
        <w:t xml:space="preserve">EUR 1.1 billion</w:t>
      </w:r>
      <w:r>
        <w:t xml:space="preserve">, partly attributed to skills and knowledge gaps</w:t>
      </w:r>
      <w:r>
        <w:t xml:space="preserve"> </w:t>
      </w:r>
      <w:r>
        <w:rPr>
          <w:vertAlign w:val="superscript"/>
        </w:rPr>
        <w:footnoteReference w:id="91"/>
      </w:r>
      <w:r>
        <w:t xml:space="preserve">-</w:t>
      </w:r>
      <w:r>
        <w:t xml:space="preserve"> </w:t>
      </w:r>
      <w:r>
        <w:rPr>
          <w:bCs/>
          <w:b/>
        </w:rPr>
        <w:t xml:space="preserve">41% of family offices</w:t>
      </w:r>
      <w:r>
        <w:t xml:space="preserve"> </w:t>
      </w:r>
      <w:r>
        <w:t xml:space="preserve">cite next-generation heir interest as primary driver — creating demand for advisor education</w:t>
      </w:r>
      <w:r>
        <w:t xml:space="preserve"> </w:t>
      </w:r>
      <w:fldSimple w:instr="NOTEREF _Ref_Footnote_60 \h \f">
        <w:r>
          <w:rPr>
            <w:vertAlign w:val="superscript"/>
          </w:rPr>
          <w:t>60</w:t>
        </w:r>
      </w:fldSimple>
      <w:r>
        <w:t xml:space="preserve">### Competitive Landscape</w:t>
      </w:r>
    </w:p>
    <w:tbl>
      <w:tblPr>
        <w:tblStyle w:val="Table"/>
        <w:tblW w:type="pct" w:w="5000"/>
        <w:tblLook w:firstRow="1" w:lastRow="0" w:firstColumn="0" w:lastColumn="0" w:noHBand="0" w:noVBand="0" w:val="0020"/>
      </w:tblPr>
      <w:tblGrid>
        <w:gridCol w:w="1182"/>
        <w:gridCol w:w="827"/>
        <w:gridCol w:w="2127"/>
        <w:gridCol w:w="2009"/>
        <w:gridCol w:w="1773"/>
      </w:tblGrid>
      <w:tr>
        <w:trPr>
          <w:tblHeader w:val="true"/>
        </w:trPr>
        <w:tc>
          <w:tcPr/>
          <w:p>
            <w:pPr>
              <w:pStyle w:val="Compact"/>
              <w:jc w:val="left"/>
            </w:pPr>
            <w:r>
              <w:t xml:space="preserve">Provider</w:t>
            </w:r>
          </w:p>
        </w:tc>
        <w:tc>
          <w:tcPr/>
          <w:p>
            <w:pPr>
              <w:pStyle w:val="Compact"/>
              <w:jc w:val="left"/>
            </w:pPr>
            <w:r>
              <w:t xml:space="preserve">Focus</w:t>
            </w:r>
          </w:p>
        </w:tc>
        <w:tc>
          <w:tcPr/>
          <w:p>
            <w:pPr>
              <w:pStyle w:val="Compact"/>
              <w:jc w:val="left"/>
            </w:pPr>
            <w:r>
              <w:t xml:space="preserve">Bitcoin-Specific?</w:t>
            </w:r>
          </w:p>
        </w:tc>
        <w:tc>
          <w:tcPr/>
          <w:p>
            <w:pPr>
              <w:pStyle w:val="Compact"/>
              <w:jc w:val="left"/>
            </w:pPr>
            <w:r>
              <w:t xml:space="preserve">Europe-Specific?</w:t>
            </w:r>
          </w:p>
        </w:tc>
        <w:tc>
          <w:tcPr/>
          <w:p>
            <w:pPr>
              <w:pStyle w:val="Compact"/>
              <w:jc w:val="left"/>
            </w:pPr>
            <w:r>
              <w:t xml:space="preserve">Certification?</w:t>
            </w:r>
          </w:p>
        </w:tc>
      </w:tr>
      <w:tr>
        <w:tc>
          <w:tcPr/>
          <w:p>
            <w:pPr>
              <w:pStyle w:val="Compact"/>
              <w:jc w:val="left"/>
            </w:pPr>
            <w:r>
              <w:t xml:space="preserve">C4 (CryptoCurrency Certification Consortium)</w:t>
            </w:r>
          </w:p>
        </w:tc>
        <w:tc>
          <w:tcPr/>
          <w:p>
            <w:pPr>
              <w:pStyle w:val="Compact"/>
              <w:jc w:val="left"/>
            </w:pPr>
            <w:r>
              <w:t xml:space="preserve">CBP certification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(global)</w:t>
            </w:r>
            <w:r>
              <w:t xml:space="preserve"> </w:t>
            </w:r>
            <w:fldSimple w:instr="NOTEREF _Ref_Footnote_88 \h \f">
              <w:r>
                <w:rPr>
                  <w:vertAlign w:val="superscript"/>
                </w:rPr>
                <w:t>88</w:t>
              </w:r>
            </w:fldSimple>
          </w:p>
        </w:tc>
      </w:tr>
      <w:tr>
        <w:tc>
          <w:tcPr/>
          <w:p>
            <w:pPr>
              <w:pStyle w:val="Compact"/>
              <w:jc w:val="left"/>
            </w:pPr>
            <w:r>
              <w:t xml:space="preserve">Blockchain Council</w:t>
            </w:r>
          </w:p>
        </w:tc>
        <w:tc>
          <w:tcPr/>
          <w:p>
            <w:pPr>
              <w:pStyle w:val="Compact"/>
              <w:jc w:val="left"/>
            </w:pPr>
            <w:r>
              <w:t xml:space="preserve">Multi-crypto certs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101 Blockchains</w:t>
            </w:r>
          </w:p>
        </w:tc>
        <w:tc>
          <w:tcPr/>
          <w:p>
            <w:pPr>
              <w:pStyle w:val="Compact"/>
              <w:jc w:val="left"/>
            </w:pPr>
            <w:r>
              <w:t xml:space="preserve">Blockchain/DeFi</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Coursera / Udemy</w:t>
            </w:r>
          </w:p>
        </w:tc>
        <w:tc>
          <w:tcPr/>
          <w:p>
            <w:pPr>
              <w:pStyle w:val="Compact"/>
              <w:jc w:val="left"/>
            </w:pPr>
            <w:r>
              <w:t xml:space="preserve">General crypto courses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MiCA training providers</w:t>
            </w:r>
          </w:p>
        </w:tc>
        <w:tc>
          <w:tcPr/>
          <w:p>
            <w:pPr>
              <w:pStyle w:val="Compact"/>
              <w:jc w:val="left"/>
            </w:pPr>
            <w:r>
              <w:t xml:space="preserve">Regulatory compliance</w:t>
            </w:r>
          </w:p>
        </w:tc>
        <w:tc>
          <w:tcPr/>
          <w:p>
            <w:pPr>
              <w:pStyle w:val="Compact"/>
              <w:jc w:val="left"/>
            </w:pPr>
            <w:r>
              <w:t xml:space="preserve">No</w:t>
            </w:r>
          </w:p>
        </w:tc>
        <w:tc>
          <w:tcPr/>
          <w:p>
            <w:pPr>
              <w:pStyle w:val="Compact"/>
              <w:jc w:val="left"/>
            </w:pPr>
            <w:r>
              <w:t xml:space="preserve">Yes</w:t>
            </w:r>
          </w:p>
        </w:tc>
        <w:tc>
          <w:tcPr/>
          <w:p>
            <w:pPr>
              <w:pStyle w:val="Compact"/>
              <w:jc w:val="left"/>
            </w:pPr>
            <w:r>
              <w:t xml:space="preserve">Limited</w:t>
            </w:r>
            <w:r>
              <w:t xml:space="preserve"> </w:t>
            </w:r>
            <w:fldSimple w:instr="NOTEREF _Ref_Footnote_78 \h \f">
              <w:r>
                <w:rPr>
                  <w:vertAlign w:val="superscript"/>
                </w:rPr>
                <w:t>78</w:t>
              </w:r>
            </w:fldSimple>
          </w:p>
        </w:tc>
      </w:tr>
      <w:tr>
        <w:tc>
          <w:tcPr/>
          <w:p>
            <w:pPr>
              <w:pStyle w:val="Compact"/>
              <w:jc w:val="left"/>
            </w:pPr>
            <w:r>
              <w:t xml:space="preserve">The Blockchain Academy (UK)</w:t>
            </w:r>
          </w:p>
        </w:tc>
        <w:tc>
          <w:tcPr/>
          <w:p>
            <w:pPr>
              <w:pStyle w:val="Compact"/>
              <w:jc w:val="left"/>
            </w:pPr>
            <w:r>
              <w:t xml:space="preserve">Blockchain education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Limited</w:t>
            </w:r>
          </w:p>
        </w:tc>
      </w:tr>
      <w:tr>
        <w:tc>
          <w:tcPr/>
          <w:p>
            <w:pPr>
              <w:pStyle w:val="Compact"/>
              <w:jc w:val="left"/>
            </w:pPr>
            <w:r>
              <w:rPr>
                <w:bCs/>
                <w:b/>
              </w:rPr>
              <w:t xml:space="preserve">GAP</w:t>
            </w:r>
          </w:p>
        </w:tc>
        <w:tc>
          <w:tcPr/>
          <w:p>
            <w:pPr>
              <w:pStyle w:val="Compact"/>
              <w:jc w:val="left"/>
            </w:pPr>
            <w:r>
              <w:rPr>
                <w:bCs/>
                <w:b/>
              </w:rPr>
              <w:t xml:space="preserve">Bitcoin-only + MiCA + EU</w:t>
            </w:r>
          </w:p>
        </w:tc>
        <w:tc>
          <w:tcPr/>
          <w:p>
            <w:pPr>
              <w:pStyle w:val="Compact"/>
              <w:jc w:val="left"/>
            </w:pPr>
            <w:r>
              <w:rPr>
                <w:bCs/>
                <w:b/>
              </w:rPr>
              <w:t xml:space="preserve">None at scale</w:t>
            </w:r>
          </w:p>
        </w:tc>
        <w:tc>
          <w:tcPr/>
          <w:p>
            <w:pPr>
              <w:pStyle w:val="Compact"/>
              <w:jc w:val="left"/>
            </w:pPr>
            <w:r>
              <w:rPr>
                <w:bCs/>
                <w:b/>
              </w:rPr>
              <w:t xml:space="preserve">None integrated</w:t>
            </w:r>
          </w:p>
        </w:tc>
        <w:tc>
          <w:tcPr/>
          <w:p>
            <w:pPr>
              <w:pStyle w:val="Compact"/>
              <w:jc w:val="left"/>
            </w:pPr>
            <w:r>
              <w:rPr>
                <w:bCs/>
                <w:b/>
              </w:rPr>
              <w:t xml:space="preserve">None</w:t>
            </w:r>
          </w:p>
        </w:tc>
      </w:tr>
    </w:tbl>
    <w:bookmarkEnd w:id="68"/>
    <w:bookmarkStart w:id="69" w:name="why-bitcoin-only-wins-3"/>
    <w:p>
      <w:pPr>
        <w:pStyle w:val="Heading3"/>
      </w:pPr>
      <w:r>
        <w:t xml:space="preserve">Why Bitcoin-Only Wins</w:t>
      </w:r>
    </w:p>
    <w:p>
      <w:pPr>
        <w:numPr>
          <w:ilvl w:val="0"/>
          <w:numId w:val="1029"/>
        </w:numPr>
        <w:pStyle w:val="Compact"/>
      </w:pPr>
      <w:r>
        <w:rPr>
          <w:bCs/>
          <w:b/>
        </w:rPr>
        <w:t xml:space="preserve">MiCA compliance specificity</w:t>
      </w:r>
      <w:r>
        <w:t xml:space="preserve">: MiCA treats different crypto-asset categories differently; Bitcoin-only education simplifies compliance training significantly</w:t>
      </w:r>
      <w:r>
        <w:t xml:space="preserve"> </w:t>
      </w:r>
      <w:fldSimple w:instr="NOTEREF _Ref_Footnote_78 \h \f">
        <w:r>
          <w:rPr>
            <w:vertAlign w:val="superscript"/>
          </w:rPr>
          <w:t>78</w:t>
        </w:r>
      </w:fldSimple>
      <w:r>
        <w:t xml:space="preserve">-</w:t>
      </w:r>
      <w:r>
        <w:t xml:space="preserve"> </w:t>
      </w:r>
      <w:r>
        <w:rPr>
          <w:bCs/>
          <w:b/>
        </w:rPr>
        <w:t xml:space="preserve">Institutional demand</w:t>
      </w:r>
      <w:r>
        <w:t xml:space="preserve">: Financial institutions need Bitcoin-specific knowledge for treasury management, not general crypto education</w:t>
      </w:r>
    </w:p>
    <w:p>
      <w:pPr>
        <w:numPr>
          <w:ilvl w:val="0"/>
          <w:numId w:val="1029"/>
        </w:numPr>
        <w:pStyle w:val="Compact"/>
      </w:pPr>
      <w:r>
        <w:rPr>
          <w:bCs/>
          <w:b/>
        </w:rPr>
        <w:t xml:space="preserve">Professional depth</w:t>
      </w:r>
      <w:r>
        <w:t xml:space="preserve">: Bitcoin’s 15+ year history, technical architecture, and monetary properties require dedicated study not covered in general</w:t>
      </w:r>
      <w:r>
        <w:t xml:space="preserve"> </w:t>
      </w:r>
      <w:r>
        <w:t xml:space="preserve">“</w:t>
      </w:r>
      <w:r>
        <w:t xml:space="preserve">blockchain</w:t>
      </w:r>
      <w:r>
        <w:t xml:space="preserve">”</w:t>
      </w:r>
      <w:r>
        <w:t xml:space="preserve"> </w:t>
      </w:r>
      <w:r>
        <w:t xml:space="preserve">courses</w:t>
      </w:r>
    </w:p>
    <w:p>
      <w:pPr>
        <w:numPr>
          <w:ilvl w:val="0"/>
          <w:numId w:val="1029"/>
        </w:numPr>
        <w:pStyle w:val="Compact"/>
      </w:pPr>
      <w:r>
        <w:rPr>
          <w:bCs/>
          <w:b/>
        </w:rPr>
        <w:t xml:space="preserve">European regulatory alignment</w:t>
      </w:r>
      <w:r>
        <w:t xml:space="preserve">: Bitcoin’s commodity status across EU means a Bitcoin-only curriculum avoids securities law complexity</w:t>
      </w:r>
    </w:p>
    <w:p>
      <w:pPr>
        <w:numPr>
          <w:ilvl w:val="0"/>
          <w:numId w:val="1029"/>
        </w:numPr>
        <w:pStyle w:val="Compact"/>
      </w:pPr>
      <w:r>
        <w:rPr>
          <w:bCs/>
          <w:b/>
        </w:rPr>
        <w:t xml:space="preserve">Flywheel effect</w:t>
      </w:r>
      <w:r>
        <w:t xml:space="preserve">: Education creates advisor talent, which enables wealth management services, which generates demand for advanced education — a self-reinforcing loop</w:t>
      </w:r>
      <w:r>
        <w:t xml:space="preserve"> </w:t>
      </w:r>
      <w:fldSimple w:instr="NOTEREF _Ref_Footnote_87 \h \f">
        <w:r>
          <w:rPr>
            <w:vertAlign w:val="superscript"/>
          </w:rPr>
          <w:t>87</w:t>
        </w:r>
      </w:fldSimple>
      <w:r>
        <w:t xml:space="preserve">### Barriers to Entry</w:t>
      </w:r>
    </w:p>
    <w:tbl>
      <w:tblPr>
        <w:tblStyle w:val="Table"/>
        <w:tblW w:type="pct" w:w="5000"/>
        <w:tblLook w:firstRow="1" w:lastRow="0" w:firstColumn="0" w:lastColumn="0" w:noHBand="0" w:noVBand="0" w:val="0020"/>
      </w:tblPr>
      <w:tblGrid>
        <w:gridCol w:w="2299"/>
        <w:gridCol w:w="2554"/>
        <w:gridCol w:w="3065"/>
      </w:tblGrid>
      <w:tr>
        <w:trPr>
          <w:tblHeader w:val="true"/>
        </w:trPr>
        <w:tc>
          <w:tcPr/>
          <w:p>
            <w:pPr>
              <w:pStyle w:val="Compact"/>
              <w:jc w:val="left"/>
            </w:pPr>
            <w:r>
              <w:t xml:space="preserve">Barrier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Credential recognition (establish industry standard)</w:t>
            </w:r>
          </w:p>
        </w:tc>
        <w:tc>
          <w:tcPr/>
          <w:p>
            <w:pPr>
              <w:pStyle w:val="Compact"/>
              <w:jc w:val="left"/>
            </w:pPr>
            <w:r>
              <w:t xml:space="preserve">High</w:t>
            </w:r>
          </w:p>
        </w:tc>
        <w:tc>
          <w:tcPr/>
          <w:p>
            <w:pPr>
              <w:pStyle w:val="Compact"/>
              <w:jc w:val="left"/>
            </w:pPr>
            <w:r>
              <w:t xml:space="preserve">Partner with European financial institutions; seek regulatory endorsement</w:t>
            </w:r>
          </w:p>
        </w:tc>
      </w:tr>
      <w:tr>
        <w:tc>
          <w:tcPr/>
          <w:p>
            <w:pPr>
              <w:pStyle w:val="Compact"/>
              <w:jc w:val="left"/>
            </w:pPr>
            <w:r>
              <w:t xml:space="preserve">Curriculum must stay current with evolving MiCA/national regulations</w:t>
            </w:r>
          </w:p>
        </w:tc>
        <w:tc>
          <w:tcPr/>
          <w:p>
            <w:pPr>
              <w:pStyle w:val="Compact"/>
              <w:jc w:val="left"/>
            </w:pPr>
            <w:r>
              <w:t xml:space="preserve">Medium</w:t>
            </w:r>
          </w:p>
        </w:tc>
        <w:tc>
          <w:tcPr/>
          <w:p>
            <w:pPr>
              <w:pStyle w:val="Compact"/>
              <w:jc w:val="left"/>
            </w:pPr>
            <w:r>
              <w:t xml:space="preserve">Dedicated regulatory monitoring; advisory board</w:t>
            </w:r>
          </w:p>
        </w:tc>
      </w:tr>
      <w:tr>
        <w:tc>
          <w:tcPr/>
          <w:p>
            <w:pPr>
              <w:pStyle w:val="Compact"/>
              <w:jc w:val="left"/>
            </w:pPr>
            <w:r>
              <w:t xml:space="preserve">Distribution (partnerships with institutions and universities)</w:t>
            </w:r>
          </w:p>
        </w:tc>
        <w:tc>
          <w:tcPr/>
          <w:p>
            <w:pPr>
              <w:pStyle w:val="Compact"/>
              <w:jc w:val="left"/>
            </w:pPr>
            <w:r>
              <w:t xml:space="preserve">High</w:t>
            </w:r>
          </w:p>
        </w:tc>
        <w:tc>
          <w:tcPr/>
          <w:p>
            <w:pPr>
              <w:pStyle w:val="Compact"/>
              <w:jc w:val="left"/>
            </w:pPr>
            <w:r>
              <w:t xml:space="preserve">Pilot with 2-3 institutions; case study proof points</w:t>
            </w:r>
          </w:p>
        </w:tc>
      </w:tr>
      <w:tr>
        <w:tc>
          <w:tcPr/>
          <w:p>
            <w:pPr>
              <w:pStyle w:val="Compact"/>
              <w:jc w:val="left"/>
            </w:pPr>
            <w:r>
              <w:t xml:space="preserve">Competition from free content (YouTube, blogs)</w:t>
            </w:r>
          </w:p>
        </w:tc>
        <w:tc>
          <w:tcPr/>
          <w:p>
            <w:pPr>
              <w:pStyle w:val="Compact"/>
              <w:jc w:val="left"/>
            </w:pPr>
            <w:r>
              <w:t xml:space="preserve">Medium</w:t>
            </w:r>
          </w:p>
        </w:tc>
        <w:tc>
          <w:tcPr/>
          <w:p>
            <w:pPr>
              <w:pStyle w:val="Compact"/>
              <w:jc w:val="left"/>
            </w:pPr>
            <w:r>
              <w:t xml:space="preserve">Professional certification value; employer recognition</w:t>
            </w:r>
          </w:p>
        </w:tc>
      </w:tr>
      <w:tr>
        <w:tc>
          <w:tcPr/>
          <w:p>
            <w:pPr>
              <w:pStyle w:val="Compact"/>
              <w:jc w:val="left"/>
            </w:pPr>
            <w:r>
              <w:t xml:space="preserve">Multi-language delivery requirement</w:t>
            </w:r>
          </w:p>
        </w:tc>
        <w:tc>
          <w:tcPr/>
          <w:p>
            <w:pPr>
              <w:pStyle w:val="Compact"/>
              <w:jc w:val="left"/>
            </w:pPr>
            <w:r>
              <w:t xml:space="preserve">Medium</w:t>
            </w:r>
          </w:p>
        </w:tc>
        <w:tc>
          <w:tcPr/>
          <w:p>
            <w:pPr>
              <w:pStyle w:val="Compact"/>
              <w:jc w:val="left"/>
            </w:pPr>
            <w:r>
              <w:t xml:space="preserve">Phased rollout: German, French first; subtitles for others</w:t>
            </w:r>
          </w:p>
        </w:tc>
      </w:tr>
    </w:tbl>
    <w:p>
      <w:r>
        <w:pict>
          <v:rect style="width:0;height:1.5pt" o:hralign="center" o:hrstd="t" o:hr="t"/>
        </w:pict>
      </w:r>
    </w:p>
    <w:bookmarkEnd w:id="69"/>
    <w:bookmarkEnd w:id="70"/>
    <w:bookmarkStart w:id="75" w:name="X2196006047a28d1df18516496bd255cd71a46e6"/>
    <w:p>
      <w:pPr>
        <w:pStyle w:val="Heading2"/>
      </w:pPr>
      <w:r>
        <w:t xml:space="preserve">3.5 Opportunity 5: Bitcoin Remittance Corridors (EU-to-Africa)</w:t>
      </w:r>
    </w:p>
    <w:bookmarkStart w:id="71" w:name="gap-description-4"/>
    <w:p>
      <w:pPr>
        <w:pStyle w:val="Heading3"/>
      </w:pPr>
      <w:r>
        <w:t xml:space="preserve">Gap Description</w:t>
      </w:r>
    </w:p>
    <w:p>
      <w:pPr>
        <w:pStyle w:val="FirstParagraph"/>
      </w:pPr>
      <w:r>
        <w:t xml:space="preserve">Europe-to-Africa remittance corridors remain extraordinarily expensive and slow, with average costs to Sub-Saharan Africa at 8.78% (Q1 2025) — nearly triple the UN SDG target of 3%</w:t>
      </w:r>
      <w:r>
        <w:t xml:space="preserve"> </w:t>
      </w:r>
      <w:r>
        <w:rPr>
          <w:vertAlign w:val="superscript"/>
        </w:rPr>
        <w:footnoteReference w:id="92"/>
      </w:r>
      <w:r>
        <w:t xml:space="preserve">. Bitcoin and Lightning Network technology can reduce these costs to under 1-2%, yet infrastructure for Bitcoin-powered remittances remains fragmented, with no comprehensive Europe-to-Africa Bitcoin remittance platform operating at scale. Strike expanded to Europe in April 2024 offering remittances to Nigeria, Ghana, and Benin, but availability is restricted to certain countries and corridors remain limited</w:t>
      </w:r>
      <w:r>
        <w:t xml:space="preserve"> </w:t>
      </w:r>
      <w:r>
        <w:rPr>
          <w:vertAlign w:val="superscript"/>
        </w:rPr>
        <w:footnoteReference w:id="93"/>
      </w:r>
      <w:r>
        <w:t xml:space="preserve">.</w:t>
      </w:r>
    </w:p>
    <w:bookmarkEnd w:id="71"/>
    <w:bookmarkStart w:id="72" w:name="addressable-market-size-4"/>
    <w:p>
      <w:pPr>
        <w:pStyle w:val="Heading3"/>
      </w:pPr>
      <w:r>
        <w:t xml:space="preserve">Addressable Market Size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Global remittance market</w:t>
            </w:r>
          </w:p>
        </w:tc>
        <w:tc>
          <w:tcPr/>
          <w:p>
            <w:pPr>
              <w:pStyle w:val="Compact"/>
              <w:jc w:val="left"/>
            </w:pPr>
            <w:r>
              <w:t xml:space="preserve">$905 billion (2024)</w:t>
            </w:r>
          </w:p>
        </w:tc>
        <w:tc>
          <w:tcPr/>
          <w:p>
            <w:pPr>
              <w:pStyle w:val="Compact"/>
              <w:jc w:val="left"/>
            </w:pPr>
            <w:r>
              <w:rPr>
                <w:vertAlign w:val="superscript"/>
              </w:rPr>
              <w:footnoteReference w:id="94"/>
            </w:r>
          </w:p>
        </w:tc>
      </w:tr>
      <w:tr>
        <w:tc>
          <w:tcPr/>
          <w:p>
            <w:pPr>
              <w:pStyle w:val="Compact"/>
              <w:jc w:val="left"/>
            </w:pPr>
            <w:r>
              <w:t xml:space="preserve">Sub-Saharan Africa remittances received</w:t>
            </w:r>
          </w:p>
        </w:tc>
        <w:tc>
          <w:tcPr/>
          <w:p>
            <w:pPr>
              <w:pStyle w:val="Compact"/>
              <w:jc w:val="left"/>
            </w:pPr>
            <w:r>
              <w:t xml:space="preserve">$55 billion (2024)</w:t>
            </w:r>
          </w:p>
        </w:tc>
        <w:tc>
          <w:tcPr/>
          <w:p>
            <w:pPr>
              <w:pStyle w:val="Compact"/>
              <w:jc w:val="left"/>
            </w:pPr>
            <w:r>
              <w:rPr>
                <w:vertAlign w:val="superscript"/>
              </w:rPr>
              <w:footnoteReference w:id="95"/>
            </w:r>
          </w:p>
        </w:tc>
      </w:tr>
      <w:tr>
        <w:tc>
          <w:tcPr/>
          <w:p>
            <w:pPr>
              <w:pStyle w:val="Compact"/>
              <w:jc w:val="left"/>
            </w:pPr>
            <w:r>
              <w:t xml:space="preserve">Average cost to Sub-Saharan Africa</w:t>
            </w:r>
          </w:p>
        </w:tc>
        <w:tc>
          <w:tcPr/>
          <w:p>
            <w:pPr>
              <w:pStyle w:val="Compact"/>
              <w:jc w:val="left"/>
            </w:pPr>
            <w:r>
              <w:t xml:space="preserve">8.78% (Q1 2025) — highest of any region</w:t>
            </w:r>
          </w:p>
        </w:tc>
        <w:tc>
          <w:tcPr/>
          <w:p>
            <w:pPr>
              <w:pStyle w:val="Compact"/>
              <w:jc w:val="left"/>
            </w:pPr>
            <w:fldSimple w:instr="NOTEREF _Ref_Footnote_92 \h \f">
              <w:r>
                <w:rPr>
                  <w:vertAlign w:val="superscript"/>
                </w:rPr>
                <w:t>92</w:t>
              </w:r>
            </w:fldSimple>
          </w:p>
        </w:tc>
      </w:tr>
      <w:tr>
        <w:tc>
          <w:tcPr/>
          <w:p>
            <w:pPr>
              <w:pStyle w:val="Compact"/>
              <w:jc w:val="left"/>
            </w:pPr>
            <w:r>
              <w:t xml:space="preserve">UN SDG target for remittance costs</w:t>
            </w:r>
          </w:p>
        </w:tc>
        <w:tc>
          <w:tcPr/>
          <w:p>
            <w:pPr>
              <w:pStyle w:val="Compact"/>
              <w:jc w:val="left"/>
            </w:pPr>
            <w:r>
              <w:t xml:space="preserve">3.0%</w:t>
            </w:r>
          </w:p>
        </w:tc>
        <w:tc>
          <w:tcPr/>
          <w:p>
            <w:pPr>
              <w:pStyle w:val="Compact"/>
              <w:jc w:val="left"/>
            </w:pPr>
            <w:r>
              <w:rPr>
                <w:vertAlign w:val="superscript"/>
              </w:rPr>
              <w:footnoteReference w:id="96"/>
            </w:r>
          </w:p>
        </w:tc>
      </w:tr>
      <w:tr>
        <w:tc>
          <w:tcPr/>
          <w:p>
            <w:pPr>
              <w:pStyle w:val="Compact"/>
              <w:jc w:val="left"/>
            </w:pPr>
            <w:r>
              <w:t xml:space="preserve">Average cost from Italy to Africa</w:t>
            </w:r>
          </w:p>
        </w:tc>
        <w:tc>
          <w:tcPr/>
          <w:p>
            <w:pPr>
              <w:pStyle w:val="Compact"/>
              <w:jc w:val="left"/>
            </w:pPr>
            <w:r>
              <w:t xml:space="preserve">6.01-8.45% depending on corridor</w:t>
            </w:r>
          </w:p>
        </w:tc>
        <w:tc>
          <w:tcPr/>
          <w:p>
            <w:pPr>
              <w:pStyle w:val="Compact"/>
              <w:jc w:val="left"/>
            </w:pPr>
            <w:fldSimple w:instr="NOTEREF _Ref_Footnote_96 \h \f">
              <w:r>
                <w:rPr>
                  <w:vertAlign w:val="superscript"/>
                </w:rPr>
                <w:t>96</w:t>
              </w:r>
            </w:fldSimple>
            <w:r>
              <w:t xml:space="preserve"> </w:t>
            </w:r>
            <w:r>
              <w:rPr>
                <w:vertAlign w:val="superscript"/>
              </w:rPr>
              <w:footnoteReference w:id="97"/>
            </w:r>
          </w:p>
        </w:tc>
      </w:tr>
      <w:tr>
        <w:tc>
          <w:tcPr/>
          <w:p>
            <w:pPr>
              <w:pStyle w:val="Compact"/>
              <w:jc w:val="left"/>
            </w:pPr>
            <w:r>
              <w:t xml:space="preserve">Average cost from France</w:t>
            </w:r>
          </w:p>
        </w:tc>
        <w:tc>
          <w:tcPr/>
          <w:p>
            <w:pPr>
              <w:pStyle w:val="Compact"/>
              <w:jc w:val="left"/>
            </w:pPr>
            <w:r>
              <w:t xml:space="preserve">5.14% (Q1 2025)</w:t>
            </w:r>
          </w:p>
        </w:tc>
        <w:tc>
          <w:tcPr/>
          <w:p>
            <w:pPr>
              <w:pStyle w:val="Compact"/>
              <w:jc w:val="left"/>
            </w:pPr>
            <w:fldSimple w:instr="NOTEREF _Ref_Footnote_96 \h \f">
              <w:r>
                <w:rPr>
                  <w:vertAlign w:val="superscript"/>
                </w:rPr>
                <w:t>96</w:t>
              </w:r>
            </w:fldSimple>
          </w:p>
        </w:tc>
      </w:tr>
      <w:tr>
        <w:tc>
          <w:tcPr/>
          <w:p>
            <w:pPr>
              <w:pStyle w:val="Compact"/>
              <w:jc w:val="left"/>
            </w:pPr>
            <w:r>
              <w:t xml:space="preserve">Banks (costliest RSP type)</w:t>
            </w:r>
          </w:p>
        </w:tc>
        <w:tc>
          <w:tcPr/>
          <w:p>
            <w:pPr>
              <w:pStyle w:val="Compact"/>
              <w:jc w:val="left"/>
            </w:pPr>
            <w:r>
              <w:t xml:space="preserve">13.40% average cost</w:t>
            </w:r>
          </w:p>
        </w:tc>
        <w:tc>
          <w:tcPr/>
          <w:p>
            <w:pPr>
              <w:pStyle w:val="Compact"/>
              <w:jc w:val="left"/>
            </w:pPr>
            <w:r>
              <w:rPr>
                <w:vertAlign w:val="superscript"/>
              </w:rPr>
              <w:footnoteReference w:id="98"/>
            </w:r>
          </w:p>
        </w:tc>
      </w:tr>
      <w:tr>
        <w:tc>
          <w:tcPr/>
          <w:p>
            <w:pPr>
              <w:pStyle w:val="Compact"/>
              <w:jc w:val="left"/>
            </w:pPr>
            <w:r>
              <w:t xml:space="preserve">Europe-to-Africa remittance flow</w:t>
            </w:r>
          </w:p>
        </w:tc>
        <w:tc>
          <w:tcPr/>
          <w:p>
            <w:pPr>
              <w:pStyle w:val="Compact"/>
              <w:jc w:val="left"/>
            </w:pPr>
            <w:r>
              <w:t xml:space="preserve">EUR 30-50 billion annually</w:t>
            </w:r>
          </w:p>
        </w:tc>
        <w:tc>
          <w:tcPr/>
          <w:p>
            <w:pPr>
              <w:pStyle w:val="Compact"/>
              <w:jc w:val="left"/>
            </w:pPr>
            <w:r>
              <w:t xml:space="preserve">—</w:t>
            </w:r>
          </w:p>
        </w:tc>
      </w:tr>
      <w:tr>
        <w:tc>
          <w:tcPr/>
          <w:p>
            <w:pPr>
              <w:pStyle w:val="Compact"/>
              <w:jc w:val="left"/>
            </w:pPr>
            <w:r>
              <w:t xml:space="preserve">Fees paid at 8.78% average</w:t>
            </w:r>
          </w:p>
        </w:tc>
        <w:tc>
          <w:tcPr/>
          <w:p>
            <w:pPr>
              <w:pStyle w:val="Compact"/>
              <w:jc w:val="left"/>
            </w:pPr>
            <w:r>
              <w:t xml:space="preserve">EUR 2.6-4.4 billion annually</w:t>
            </w:r>
          </w:p>
        </w:tc>
        <w:tc>
          <w:tcPr/>
          <w:p>
            <w:pPr>
              <w:pStyle w:val="Compact"/>
              <w:jc w:val="left"/>
            </w:pPr>
            <w:r>
              <w:t xml:space="preserve">—</w:t>
            </w:r>
          </w:p>
        </w:tc>
      </w:tr>
      <w:tr>
        <w:tc>
          <w:tcPr/>
          <w:p>
            <w:pPr>
              <w:pStyle w:val="Compact"/>
              <w:jc w:val="left"/>
            </w:pPr>
            <w:r>
              <w:t xml:space="preserve">Crypto-powered remittances market (2025)</w:t>
            </w:r>
          </w:p>
        </w:tc>
        <w:tc>
          <w:tcPr/>
          <w:p>
            <w:pPr>
              <w:pStyle w:val="Compact"/>
              <w:jc w:val="left"/>
            </w:pPr>
            <w:r>
              <w:t xml:space="preserve">USD 27.87B → USD 85.77B by 2030 (25.2% CAGR)</w:t>
            </w:r>
          </w:p>
        </w:tc>
        <w:tc>
          <w:tcPr/>
          <w:p>
            <w:pPr>
              <w:pStyle w:val="Compact"/>
              <w:jc w:val="left"/>
            </w:pPr>
            <w:r>
              <w:rPr>
                <w:vertAlign w:val="superscript"/>
              </w:rPr>
              <w:footnoteReference w:id="99"/>
            </w:r>
          </w:p>
        </w:tc>
      </w:tr>
      <w:tr>
        <w:tc>
          <w:tcPr/>
          <w:p>
            <w:pPr>
              <w:pStyle w:val="Compact"/>
              <w:jc w:val="left"/>
            </w:pPr>
            <w:r>
              <w:t xml:space="preserve">European segment (27.2% of global)</w:t>
            </w:r>
          </w:p>
        </w:tc>
        <w:tc>
          <w:tcPr/>
          <w:p>
            <w:pPr>
              <w:pStyle w:val="Compact"/>
              <w:jc w:val="left"/>
            </w:pPr>
            <w:r>
              <w:t xml:space="preserve">USD 7.6 billion (2025)</w:t>
            </w:r>
          </w:p>
        </w:tc>
        <w:tc>
          <w:tcPr/>
          <w:p>
            <w:pPr>
              <w:pStyle w:val="Compact"/>
              <w:jc w:val="left"/>
            </w:pPr>
            <w:fldSimple w:instr="NOTEREF _Ref_Footnote_99 \h \f">
              <w:r>
                <w:rPr>
                  <w:vertAlign w:val="superscript"/>
                </w:rPr>
                <w:t>99</w:t>
              </w:r>
            </w:fldSimple>
          </w:p>
        </w:tc>
      </w:tr>
      <w:tr>
        <w:tc>
          <w:tcPr/>
          <w:p>
            <w:pPr>
              <w:pStyle w:val="Compact"/>
              <w:jc w:val="left"/>
            </w:pPr>
            <w:r>
              <w:rPr>
                <w:bCs/>
                <w:b/>
              </w:rPr>
              <w:t xml:space="preserve">Capturable market (2-5% penetration)</w:t>
            </w:r>
          </w:p>
        </w:tc>
        <w:tc>
          <w:tcPr/>
          <w:p>
            <w:pPr>
              <w:pStyle w:val="Compact"/>
              <w:jc w:val="left"/>
            </w:pPr>
            <w:r>
              <w:rPr>
                <w:bCs/>
                <w:b/>
              </w:rPr>
              <w:t xml:space="preserve">EUR 600M-2.5B in transaction volume</w:t>
            </w:r>
          </w:p>
        </w:tc>
        <w:tc>
          <w:tcPr/>
          <w:p>
            <w:pPr>
              <w:pStyle w:val="Compact"/>
              <w:jc w:val="left"/>
            </w:pPr>
            <w:r>
              <w:t xml:space="preserve">—</w:t>
            </w:r>
          </w:p>
        </w:tc>
      </w:tr>
      <w:tr>
        <w:tc>
          <w:tcPr/>
          <w:p>
            <w:pPr>
              <w:pStyle w:val="Compact"/>
              <w:jc w:val="left"/>
            </w:pPr>
            <w:r>
              <w:rPr>
                <w:bCs/>
                <w:b/>
              </w:rPr>
              <w:t xml:space="preserve">Revenue at 1-1.5% fee</w:t>
            </w:r>
          </w:p>
        </w:tc>
        <w:tc>
          <w:tcPr/>
          <w:p>
            <w:pPr>
              <w:pStyle w:val="Compact"/>
              <w:jc w:val="left"/>
            </w:pPr>
            <w:r>
              <w:rPr>
                <w:bCs/>
                <w:b/>
              </w:rPr>
              <w:t xml:space="preserve">EUR 6-37M annually</w:t>
            </w:r>
          </w:p>
        </w:tc>
        <w:tc>
          <w:tcPr/>
          <w:p>
            <w:pPr>
              <w:pStyle w:val="Compact"/>
              <w:jc w:val="left"/>
            </w:pPr>
            <w:r>
              <w:t xml:space="preserve">—</w:t>
            </w:r>
          </w:p>
        </w:tc>
      </w:tr>
    </w:tbl>
    <w:bookmarkEnd w:id="72"/>
    <w:bookmarkStart w:id="73" w:name="evidence-of-demand-4"/>
    <w:p>
      <w:pPr>
        <w:pStyle w:val="Heading3"/>
      </w:pPr>
      <w:r>
        <w:t xml:space="preserve">Evidence of Demand</w:t>
      </w:r>
    </w:p>
    <w:p>
      <w:pPr>
        <w:numPr>
          <w:ilvl w:val="0"/>
          <w:numId w:val="1030"/>
        </w:numPr>
        <w:pStyle w:val="Compact"/>
      </w:pPr>
      <w:r>
        <w:rPr>
          <w:bCs/>
          <w:b/>
        </w:rPr>
        <w:t xml:space="preserve">127 African institutions lost correspondent banking relationships</w:t>
      </w:r>
      <w:r>
        <w:t xml:space="preserve"> </w:t>
      </w:r>
      <w:r>
        <w:t xml:space="preserve">in 2024-2025 due to de-risking, adding up to 48 hours and USD 12 to a USD 200 transaction</w:t>
      </w:r>
      <w:r>
        <w:t xml:space="preserve"> </w:t>
      </w:r>
      <w:r>
        <w:rPr>
          <w:vertAlign w:val="superscript"/>
        </w:rPr>
        <w:footnoteReference w:id="100"/>
      </w:r>
      <w:r>
        <w:t xml:space="preserve">- Strike’s European launch saw</w:t>
      </w:r>
      <w:r>
        <w:t xml:space="preserve"> </w:t>
      </w:r>
      <w:r>
        <w:rPr>
          <w:bCs/>
          <w:b/>
        </w:rPr>
        <w:t xml:space="preserve">immediate demand</w:t>
      </w:r>
      <w:r>
        <w:t xml:space="preserve"> </w:t>
      </w:r>
      <w:r>
        <w:t xml:space="preserve">for remittances to Nigeria, Ghana, Benin, Philippines, Mexico, and Vietnam</w:t>
      </w:r>
      <w:r>
        <w:t xml:space="preserve"> </w:t>
      </w:r>
      <w:fldSimple w:instr="NOTEREF _Ref_Footnote_93 \h \f">
        <w:r>
          <w:rPr>
            <w:vertAlign w:val="superscript"/>
          </w:rPr>
          <w:t>93</w:t>
        </w:r>
      </w:fldSimple>
      <w:r>
        <w:t xml:space="preserve">- OECD research confirmed Bitcoin as a bridge asset can</w:t>
      </w:r>
      <w:r>
        <w:t xml:space="preserve"> </w:t>
      </w:r>
      <w:r>
        <w:rPr>
          <w:bCs/>
          <w:b/>
        </w:rPr>
        <w:t xml:space="preserve">reduce remittance costs to 2-4% in African corridors</w:t>
      </w:r>
      <w:r>
        <w:t xml:space="preserve"> </w:t>
      </w:r>
      <w:r>
        <w:rPr>
          <w:vertAlign w:val="superscript"/>
        </w:rPr>
        <w:footnoteReference w:id="101"/>
      </w:r>
      <w:r>
        <w:t xml:space="preserve">- Average cost from Italy to Africa ranges from</w:t>
      </w:r>
      <w:r>
        <w:t xml:space="preserve"> </w:t>
      </w:r>
      <w:r>
        <w:rPr>
          <w:bCs/>
          <w:b/>
        </w:rPr>
        <w:t xml:space="preserve">6.01% to 8.45%</w:t>
      </w:r>
      <w:r>
        <w:t xml:space="preserve"> </w:t>
      </w:r>
      <w:r>
        <w:t xml:space="preserve">depending on corridor — more than double the SDG target</w:t>
      </w:r>
      <w:r>
        <w:t xml:space="preserve"> </w:t>
      </w:r>
      <w:fldSimple w:instr="NOTEREF _Ref_Footnote_96 \h \f">
        <w:r>
          <w:rPr>
            <w:vertAlign w:val="superscript"/>
          </w:rPr>
          <w:t>96</w:t>
        </w:r>
      </w:fldSimple>
      <w:r>
        <w:t xml:space="preserve"> </w:t>
      </w:r>
      <w:fldSimple w:instr="NOTEREF _Ref_Footnote_97 \h \f">
        <w:r>
          <w:rPr>
            <w:vertAlign w:val="superscript"/>
          </w:rPr>
          <w:t>97</w:t>
        </w:r>
      </w:fldSimple>
      <w:r>
        <w:t xml:space="preserve">- Global average remittance cost at</w:t>
      </w:r>
      <w:r>
        <w:t xml:space="preserve"> </w:t>
      </w:r>
      <w:r>
        <w:rPr>
          <w:bCs/>
          <w:b/>
        </w:rPr>
        <w:t xml:space="preserve">6.35-6.49%</w:t>
      </w:r>
      <w:r>
        <w:t xml:space="preserve"> </w:t>
      </w:r>
      <w:r>
        <w:t xml:space="preserve">remains more than double the 3% SDG target</w:t>
      </w:r>
      <w:r>
        <w:t xml:space="preserve"> </w:t>
      </w:r>
      <w:fldSimple w:instr="NOTEREF _Ref_Footnote_96 \h \f">
        <w:r>
          <w:rPr>
            <w:vertAlign w:val="superscript"/>
          </w:rPr>
          <w:t>96</w:t>
        </w:r>
      </w:fldSimple>
      <w:r>
        <w:t xml:space="preserve"> </w:t>
      </w:r>
      <w:fldSimple w:instr="NOTEREF _Ref_Footnote_97 \h \f">
        <w:r>
          <w:rPr>
            <w:vertAlign w:val="superscript"/>
          </w:rPr>
          <w:t>97</w:t>
        </w:r>
      </w:fldSimple>
      <w:r>
        <w:t xml:space="preserve">- Banks remain the costliest remittance service provider type at</w:t>
      </w:r>
      <w:r>
        <w:t xml:space="preserve"> </w:t>
      </w:r>
      <w:r>
        <w:rPr>
          <w:bCs/>
          <w:b/>
        </w:rPr>
        <w:t xml:space="preserve">13.40% average cost</w:t>
      </w:r>
      <w:r>
        <w:t xml:space="preserve"> </w:t>
      </w:r>
      <w:fldSimple w:instr="NOTEREF _Ref_Footnote_98 \h \f">
        <w:r>
          <w:rPr>
            <w:vertAlign w:val="superscript"/>
          </w:rPr>
          <w:t>98</w:t>
        </w:r>
      </w:fldSimple>
      <w:r>
        <w:t xml:space="preserve">- Sub-Saharan Africa receives</w:t>
      </w:r>
      <w:r>
        <w:t xml:space="preserve"> </w:t>
      </w:r>
      <w:r>
        <w:rPr>
          <w:bCs/>
          <w:b/>
        </w:rPr>
        <w:t xml:space="preserve">$55 billion in remittances annually</w:t>
      </w:r>
      <w:r>
        <w:t xml:space="preserve"> </w:t>
      </w:r>
      <w:r>
        <w:t xml:space="preserve">— the highest-cost region globally</w:t>
      </w:r>
      <w:r>
        <w:t xml:space="preserve"> </w:t>
      </w:r>
      <w:fldSimple w:instr="NOTEREF _Ref_Footnote_95 \h \f">
        <w:r>
          <w:rPr>
            <w:vertAlign w:val="superscript"/>
          </w:rPr>
          <w:t>95</w:t>
        </w:r>
      </w:fldSimple>
      <w:r>
        <w:t xml:space="preserve">### Competitive Landscape</w:t>
      </w:r>
    </w:p>
    <w:tbl>
      <w:tblPr>
        <w:tblStyle w:val="Table"/>
        <w:tblW w:type="pct" w:w="5000"/>
        <w:tblLook w:firstRow="1" w:lastRow="0" w:firstColumn="0" w:lastColumn="0" w:noHBand="0" w:noVBand="0" w:val="0020"/>
      </w:tblPr>
      <w:tblGrid>
        <w:gridCol w:w="1257"/>
        <w:gridCol w:w="1760"/>
        <w:gridCol w:w="1382"/>
        <w:gridCol w:w="2137"/>
        <w:gridCol w:w="1382"/>
      </w:tblGrid>
      <w:tr>
        <w:trPr>
          <w:tblHeader w:val="true"/>
        </w:trPr>
        <w:tc>
          <w:tcPr/>
          <w:p>
            <w:pPr>
              <w:pStyle w:val="Compact"/>
              <w:jc w:val="left"/>
            </w:pPr>
            <w:r>
              <w:t xml:space="preserve">Provider</w:t>
            </w:r>
          </w:p>
        </w:tc>
        <w:tc>
          <w:tcPr/>
          <w:p>
            <w:pPr>
              <w:pStyle w:val="Compact"/>
              <w:jc w:val="left"/>
            </w:pPr>
            <w:r>
              <w:t xml:space="preserve">Bitcoin-Only?</w:t>
            </w:r>
          </w:p>
        </w:tc>
        <w:tc>
          <w:tcPr/>
          <w:p>
            <w:pPr>
              <w:pStyle w:val="Compact"/>
              <w:jc w:val="left"/>
            </w:pPr>
            <w:r>
              <w:t xml:space="preserve">Corridors</w:t>
            </w:r>
          </w:p>
        </w:tc>
        <w:tc>
          <w:tcPr/>
          <w:p>
            <w:pPr>
              <w:pStyle w:val="Compact"/>
              <w:jc w:val="left"/>
            </w:pPr>
            <w:r>
              <w:t xml:space="preserve">European Origin?</w:t>
            </w:r>
          </w:p>
        </w:tc>
        <w:tc>
          <w:tcPr/>
          <w:p>
            <w:pPr>
              <w:pStyle w:val="Compact"/>
              <w:jc w:val="left"/>
            </w:pPr>
            <w:r>
              <w:t xml:space="preserve">Mechanism</w:t>
            </w:r>
          </w:p>
        </w:tc>
      </w:tr>
      <w:tr>
        <w:tc>
          <w:tcPr/>
          <w:p>
            <w:pPr>
              <w:pStyle w:val="Compact"/>
              <w:jc w:val="left"/>
            </w:pPr>
            <w:r>
              <w:t xml:space="preserve">Strike</w:t>
            </w:r>
          </w:p>
        </w:tc>
        <w:tc>
          <w:tcPr/>
          <w:p>
            <w:pPr>
              <w:pStyle w:val="Compact"/>
              <w:jc w:val="left"/>
            </w:pPr>
            <w:r>
              <w:t xml:space="preserve">Yes</w:t>
            </w:r>
          </w:p>
        </w:tc>
        <w:tc>
          <w:tcPr/>
          <w:p>
            <w:pPr>
              <w:pStyle w:val="Compact"/>
              <w:jc w:val="left"/>
            </w:pPr>
            <w:r>
              <w:t xml:space="preserve">EU to Africa, Asia, LatAm</w:t>
            </w:r>
          </w:p>
        </w:tc>
        <w:tc>
          <w:tcPr/>
          <w:p>
            <w:pPr>
              <w:pStyle w:val="Compact"/>
              <w:jc w:val="left"/>
            </w:pPr>
            <w:r>
              <w:t xml:space="preserve">No (US)</w:t>
            </w:r>
          </w:p>
        </w:tc>
        <w:tc>
          <w:tcPr/>
          <w:p>
            <w:pPr>
              <w:pStyle w:val="Compact"/>
              <w:jc w:val="left"/>
            </w:pPr>
            <w:r>
              <w:t xml:space="preserve">Lightning + local payouts</w:t>
            </w:r>
            <w:r>
              <w:t xml:space="preserve"> </w:t>
            </w:r>
            <w:fldSimple w:instr="NOTEREF _Ref_Footnote_93 \h \f">
              <w:r>
                <w:rPr>
                  <w:vertAlign w:val="superscript"/>
                </w:rPr>
                <w:t>93</w:t>
              </w:r>
            </w:fldSimple>
          </w:p>
        </w:tc>
      </w:tr>
      <w:tr>
        <w:tc>
          <w:tcPr/>
          <w:p>
            <w:pPr>
              <w:pStyle w:val="Compact"/>
              <w:jc w:val="left"/>
            </w:pPr>
            <w:r>
              <w:t xml:space="preserve">BitPesa (AZA Finance)</w:t>
            </w:r>
          </w:p>
        </w:tc>
        <w:tc>
          <w:tcPr/>
          <w:p>
            <w:pPr>
              <w:pStyle w:val="Compact"/>
              <w:jc w:val="left"/>
            </w:pPr>
            <w:r>
              <w:t xml:space="preserve">No (multi-crypto)</w:t>
            </w:r>
          </w:p>
        </w:tc>
        <w:tc>
          <w:tcPr/>
          <w:p>
            <w:pPr>
              <w:pStyle w:val="Compact"/>
              <w:jc w:val="left"/>
            </w:pPr>
            <w:r>
              <w:t xml:space="preserve">Africa-focused</w:t>
            </w:r>
          </w:p>
        </w:tc>
        <w:tc>
          <w:tcPr/>
          <w:p>
            <w:pPr>
              <w:pStyle w:val="Compact"/>
              <w:jc w:val="left"/>
            </w:pPr>
            <w:r>
              <w:t xml:space="preserve">No (Kenya/UK)</w:t>
            </w:r>
          </w:p>
        </w:tc>
        <w:tc>
          <w:tcPr/>
          <w:p>
            <w:pPr>
              <w:pStyle w:val="Compact"/>
              <w:jc w:val="left"/>
            </w:pPr>
            <w:r>
              <w:t xml:space="preserve">Crypto bridge</w:t>
            </w:r>
          </w:p>
        </w:tc>
      </w:tr>
      <w:tr>
        <w:tc>
          <w:tcPr/>
          <w:p>
            <w:pPr>
              <w:pStyle w:val="Compact"/>
              <w:jc w:val="left"/>
            </w:pPr>
            <w:r>
              <w:t xml:space="preserve">CoinGate</w:t>
            </w:r>
          </w:p>
        </w:tc>
        <w:tc>
          <w:tcPr/>
          <w:p>
            <w:pPr>
              <w:pStyle w:val="Compact"/>
              <w:jc w:val="left"/>
            </w:pPr>
            <w:r>
              <w:t xml:space="preserve">No (multi-crypto)</w:t>
            </w:r>
          </w:p>
        </w:tc>
        <w:tc>
          <w:tcPr/>
          <w:p>
            <w:pPr>
              <w:pStyle w:val="Compact"/>
              <w:jc w:val="left"/>
            </w:pPr>
            <w:r>
              <w:t xml:space="preserve">Global</w:t>
            </w:r>
          </w:p>
        </w:tc>
        <w:tc>
          <w:tcPr/>
          <w:p>
            <w:pPr>
              <w:pStyle w:val="Compact"/>
              <w:jc w:val="left"/>
            </w:pPr>
            <w:r>
              <w:t xml:space="preserve">Yes (Lithuania)</w:t>
            </w:r>
          </w:p>
        </w:tc>
        <w:tc>
          <w:tcPr/>
          <w:p>
            <w:pPr>
              <w:pStyle w:val="Compact"/>
              <w:jc w:val="left"/>
            </w:pPr>
            <w:r>
              <w:t xml:space="preserve">Payment gateway</w:t>
            </w:r>
          </w:p>
        </w:tc>
      </w:tr>
      <w:tr>
        <w:tc>
          <w:tcPr/>
          <w:p>
            <w:pPr>
              <w:pStyle w:val="Compact"/>
              <w:jc w:val="left"/>
            </w:pPr>
            <w:r>
              <w:t xml:space="preserve">TripleA</w:t>
            </w:r>
          </w:p>
        </w:tc>
        <w:tc>
          <w:tcPr/>
          <w:p>
            <w:pPr>
              <w:pStyle w:val="Compact"/>
              <w:jc w:val="left"/>
            </w:pPr>
            <w:r>
              <w:t xml:space="preserve">No (multi-crypto)</w:t>
            </w:r>
          </w:p>
        </w:tc>
        <w:tc>
          <w:tcPr/>
          <w:p>
            <w:pPr>
              <w:pStyle w:val="Compact"/>
              <w:jc w:val="left"/>
            </w:pPr>
            <w:r>
              <w:t xml:space="preserve">Global</w:t>
            </w:r>
          </w:p>
        </w:tc>
        <w:tc>
          <w:tcPr/>
          <w:p>
            <w:pPr>
              <w:pStyle w:val="Compact"/>
              <w:jc w:val="left"/>
            </w:pPr>
            <w:r>
              <w:t xml:space="preserve">Yes (Singapore/EU)</w:t>
            </w:r>
          </w:p>
        </w:tc>
        <w:tc>
          <w:tcPr/>
          <w:p>
            <w:pPr>
              <w:pStyle w:val="Compact"/>
              <w:jc w:val="left"/>
            </w:pPr>
            <w:r>
              <w:t xml:space="preserve">Payment processing</w:t>
            </w:r>
          </w:p>
        </w:tc>
      </w:tr>
      <w:tr>
        <w:tc>
          <w:tcPr/>
          <w:p>
            <w:pPr>
              <w:pStyle w:val="Compact"/>
              <w:jc w:val="left"/>
            </w:pPr>
            <w:r>
              <w:t xml:space="preserve">MoneyBadger / Blink</w:t>
            </w:r>
          </w:p>
        </w:tc>
        <w:tc>
          <w:tcPr/>
          <w:p>
            <w:pPr>
              <w:pStyle w:val="Compact"/>
              <w:jc w:val="left"/>
            </w:pPr>
            <w:r>
              <w:t xml:space="preserve">Bitcoin-focused</w:t>
            </w:r>
          </w:p>
        </w:tc>
        <w:tc>
          <w:tcPr/>
          <w:p>
            <w:pPr>
              <w:pStyle w:val="Compact"/>
              <w:jc w:val="left"/>
            </w:pPr>
            <w:r>
              <w:t xml:space="preserve">Africa-Europe</w:t>
            </w:r>
          </w:p>
        </w:tc>
        <w:tc>
          <w:tcPr/>
          <w:p>
            <w:pPr>
              <w:pStyle w:val="Compact"/>
              <w:jc w:val="left"/>
            </w:pPr>
            <w:r>
              <w:t xml:space="preserve">Yes (South Africa/NL)</w:t>
            </w:r>
          </w:p>
        </w:tc>
        <w:tc>
          <w:tcPr/>
          <w:p>
            <w:pPr>
              <w:pStyle w:val="Compact"/>
              <w:jc w:val="left"/>
            </w:pPr>
            <w:r>
              <w:t xml:space="preserve">Mobile money integration</w:t>
            </w:r>
          </w:p>
        </w:tc>
      </w:tr>
      <w:tr>
        <w:tc>
          <w:tcPr/>
          <w:p>
            <w:pPr>
              <w:pStyle w:val="Compact"/>
              <w:jc w:val="left"/>
            </w:pPr>
            <w:r>
              <w:rPr>
                <w:bCs/>
                <w:b/>
              </w:rPr>
              <w:t xml:space="preserve">GAP</w:t>
            </w:r>
          </w:p>
        </w:tc>
        <w:tc>
          <w:tcPr/>
          <w:p>
            <w:pPr>
              <w:pStyle w:val="Compact"/>
              <w:jc w:val="left"/>
            </w:pPr>
            <w:r>
              <w:rPr>
                <w:bCs/>
                <w:b/>
              </w:rPr>
              <w:t xml:space="preserve">Bitcoin-only EU-to-Africa</w:t>
            </w:r>
          </w:p>
        </w:tc>
        <w:tc>
          <w:tcPr/>
          <w:p>
            <w:pPr>
              <w:pStyle w:val="Compact"/>
              <w:jc w:val="left"/>
            </w:pPr>
            <w:r>
              <w:rPr>
                <w:bCs/>
                <w:b/>
              </w:rPr>
              <w:t xml:space="preserve">Limited</w:t>
            </w:r>
          </w:p>
        </w:tc>
        <w:tc>
          <w:tcPr/>
          <w:p>
            <w:pPr>
              <w:pStyle w:val="Compact"/>
              <w:jc w:val="left"/>
            </w:pPr>
            <w:r>
              <w:rPr>
                <w:bCs/>
                <w:b/>
              </w:rPr>
              <w:t xml:space="preserve">EU-native</w:t>
            </w:r>
          </w:p>
        </w:tc>
        <w:tc>
          <w:tcPr/>
          <w:p>
            <w:pPr>
              <w:pStyle w:val="Compact"/>
              <w:jc w:val="left"/>
            </w:pPr>
            <w:r>
              <w:rPr>
                <w:bCs/>
                <w:b/>
              </w:rPr>
              <w:t xml:space="preserve">Lightning-native</w:t>
            </w:r>
          </w:p>
        </w:tc>
      </w:tr>
    </w:tbl>
    <w:bookmarkEnd w:id="73"/>
    <w:bookmarkStart w:id="74" w:name="why-bitcoin-only-wins-4"/>
    <w:p>
      <w:pPr>
        <w:pStyle w:val="Heading3"/>
      </w:pPr>
      <w:r>
        <w:t xml:space="preserve">Why Bitcoin-Only Wins</w:t>
      </w:r>
    </w:p>
    <w:p>
      <w:pPr>
        <w:numPr>
          <w:ilvl w:val="0"/>
          <w:numId w:val="1031"/>
        </w:numPr>
        <w:pStyle w:val="Compact"/>
      </w:pPr>
      <w:r>
        <w:rPr>
          <w:bCs/>
          <w:b/>
        </w:rPr>
        <w:t xml:space="preserve">Lightning Network speed</w:t>
      </w:r>
      <w:r>
        <w:t xml:space="preserve">: Sub-second settlement via Lightning enables real-time remittances, unmatched by on-chain altcoin transactions</w:t>
      </w:r>
    </w:p>
    <w:p>
      <w:pPr>
        <w:numPr>
          <w:ilvl w:val="0"/>
          <w:numId w:val="1031"/>
        </w:numPr>
        <w:pStyle w:val="Compact"/>
      </w:pPr>
      <w:r>
        <w:rPr>
          <w:bCs/>
          <w:b/>
        </w:rPr>
        <w:t xml:space="preserve">Regulatory clarity</w:t>
      </w:r>
      <w:r>
        <w:t xml:space="preserve">: Bitcoin’s commodity status avoids MiCA stablecoin reserve requirements and securities classification issues</w:t>
      </w:r>
    </w:p>
    <w:p>
      <w:pPr>
        <w:numPr>
          <w:ilvl w:val="0"/>
          <w:numId w:val="1031"/>
        </w:numPr>
        <w:pStyle w:val="Compact"/>
      </w:pPr>
      <w:r>
        <w:rPr>
          <w:bCs/>
          <w:b/>
        </w:rPr>
        <w:t xml:space="preserve">Global liquidity</w:t>
      </w:r>
      <w:r>
        <w:t xml:space="preserve">: Bitcoin has the deepest, most liquid market of any cryptocurrency, enabling reliable last-mile conversion</w:t>
      </w:r>
    </w:p>
    <w:p>
      <w:pPr>
        <w:numPr>
          <w:ilvl w:val="0"/>
          <w:numId w:val="1031"/>
        </w:numPr>
        <w:pStyle w:val="Compact"/>
      </w:pPr>
      <w:r>
        <w:rPr>
          <w:bCs/>
          <w:b/>
        </w:rPr>
        <w:t xml:space="preserve">Censorship resistance</w:t>
      </w:r>
      <w:r>
        <w:t xml:space="preserve">: Bitcoin-only remittances avoid dependency on stablecoin issuers (USDC, USDT) who can freeze funds</w:t>
      </w:r>
    </w:p>
    <w:p>
      <w:pPr>
        <w:numPr>
          <w:ilvl w:val="0"/>
          <w:numId w:val="1031"/>
        </w:numPr>
        <w:pStyle w:val="Compact"/>
      </w:pPr>
      <w:r>
        <w:rPr>
          <w:bCs/>
          <w:b/>
        </w:rPr>
        <w:t xml:space="preserve">Lower counterparty risk</w:t>
      </w:r>
      <w:r>
        <w:t xml:space="preserve">: No dependency on stablecoin reserve backing or issuer solvency</w:t>
      </w:r>
    </w:p>
    <w:p>
      <w:pPr>
        <w:numPr>
          <w:ilvl w:val="0"/>
          <w:numId w:val="1031"/>
        </w:numPr>
        <w:pStyle w:val="Compact"/>
      </w:pPr>
      <w:r>
        <w:rPr>
          <w:bCs/>
          <w:b/>
        </w:rPr>
        <w:t xml:space="preserve">European sender preference</w:t>
      </w:r>
      <w:r>
        <w:t xml:space="preserve">: European senders increasingly prefer Bitcoin-only apps (evidenced by Relai’s 300% YoY growth)</w:t>
      </w:r>
      <w:r>
        <w:t xml:space="preserve"> </w:t>
      </w:r>
      <w:fldSimple w:instr="NOTEREF _Ref_Footnote_74 \h \f">
        <w:r>
          <w:rPr>
            <w:vertAlign w:val="superscript"/>
          </w:rPr>
          <w:t>74</w:t>
        </w:r>
      </w:fldSimple>
      <w:r>
        <w:t xml:space="preserve"> </w:t>
      </w:r>
      <w:fldSimple w:instr="NOTEREF _Ref_Footnote_44 \h \f">
        <w:r>
          <w:rPr>
            <w:vertAlign w:val="superscript"/>
          </w:rPr>
          <w:t>44</w:t>
        </w:r>
      </w:fldSimple>
      <w:r>
        <w:t xml:space="preserve">### Barriers to Entry</w:t>
      </w:r>
    </w:p>
    <w:tbl>
      <w:tblPr>
        <w:tblStyle w:val="Table"/>
        <w:tblW w:type="pct" w:w="5000"/>
        <w:tblLook w:firstRow="1" w:lastRow="0" w:firstColumn="0" w:lastColumn="0" w:noHBand="0" w:noVBand="0" w:val="0020"/>
      </w:tblPr>
      <w:tblGrid>
        <w:gridCol w:w="2299"/>
        <w:gridCol w:w="2554"/>
        <w:gridCol w:w="3065"/>
      </w:tblGrid>
      <w:tr>
        <w:trPr>
          <w:tblHeader w:val="true"/>
        </w:trPr>
        <w:tc>
          <w:tcPr/>
          <w:p>
            <w:pPr>
              <w:pStyle w:val="Compact"/>
              <w:jc w:val="left"/>
            </w:pPr>
            <w:r>
              <w:t xml:space="preserve">Barrier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Last-mile liquidity (African mobile money operators/exchanges)</w:t>
            </w:r>
          </w:p>
        </w:tc>
        <w:tc>
          <w:tcPr/>
          <w:p>
            <w:pPr>
              <w:pStyle w:val="Compact"/>
              <w:jc w:val="left"/>
            </w:pPr>
            <w:r>
              <w:t xml:space="preserve">High</w:t>
            </w:r>
          </w:p>
        </w:tc>
        <w:tc>
          <w:tcPr/>
          <w:p>
            <w:pPr>
              <w:pStyle w:val="Compact"/>
              <w:jc w:val="left"/>
            </w:pPr>
            <w:r>
              <w:t xml:space="preserve">Partnerships with M-Pesa, MTN Mobile Money, local Bitcoin exchanges</w:t>
            </w:r>
          </w:p>
        </w:tc>
      </w:tr>
      <w:tr>
        <w:tc>
          <w:tcPr/>
          <w:p>
            <w:pPr>
              <w:pStyle w:val="Compact"/>
              <w:jc w:val="left"/>
            </w:pPr>
            <w:r>
              <w:t xml:space="preserve">Money transmitter licenses (EU sending + African receiving countries)</w:t>
            </w:r>
          </w:p>
        </w:tc>
        <w:tc>
          <w:tcPr/>
          <w:p>
            <w:pPr>
              <w:pStyle w:val="Compact"/>
              <w:jc w:val="left"/>
            </w:pPr>
            <w:r>
              <w:t xml:space="preserve">High</w:t>
            </w:r>
          </w:p>
        </w:tc>
        <w:tc>
          <w:tcPr/>
          <w:p>
            <w:pPr>
              <w:pStyle w:val="Compact"/>
              <w:jc w:val="left"/>
            </w:pPr>
            <w:r>
              <w:t xml:space="preserve">Phased corridor rollout; regulatory sandbox where available</w:t>
            </w:r>
          </w:p>
        </w:tc>
      </w:tr>
      <w:tr>
        <w:tc>
          <w:tcPr/>
          <w:p>
            <w:pPr>
              <w:pStyle w:val="Compact"/>
              <w:jc w:val="left"/>
            </w:pPr>
            <w:r>
              <w:t xml:space="preserve">FX volatility (Bitcoin price movement between send/receive)</w:t>
            </w:r>
          </w:p>
        </w:tc>
        <w:tc>
          <w:tcPr/>
          <w:p>
            <w:pPr>
              <w:pStyle w:val="Compact"/>
              <w:jc w:val="left"/>
            </w:pPr>
            <w:r>
              <w:t xml:space="preserve">Medium</w:t>
            </w:r>
          </w:p>
        </w:tc>
        <w:tc>
          <w:tcPr/>
          <w:p>
            <w:pPr>
              <w:pStyle w:val="Compact"/>
              <w:jc w:val="left"/>
            </w:pPr>
            <w:r>
              <w:t xml:space="preserve">Short hedging windows; stablecoin bridge options</w:t>
            </w:r>
          </w:p>
        </w:tc>
      </w:tr>
      <w:tr>
        <w:tc>
          <w:tcPr/>
          <w:p>
            <w:pPr>
              <w:pStyle w:val="Compact"/>
              <w:jc w:val="left"/>
            </w:pPr>
            <w:r>
              <w:t xml:space="preserve">KYC/AML across multiple jurisdictions</w:t>
            </w:r>
          </w:p>
        </w:tc>
        <w:tc>
          <w:tcPr/>
          <w:p>
            <w:pPr>
              <w:pStyle w:val="Compact"/>
              <w:jc w:val="left"/>
            </w:pPr>
            <w:r>
              <w:t xml:space="preserve">High</w:t>
            </w:r>
          </w:p>
        </w:tc>
        <w:tc>
          <w:tcPr/>
          <w:p>
            <w:pPr>
              <w:pStyle w:val="Compact"/>
              <w:jc w:val="left"/>
            </w:pPr>
            <w:r>
              <w:t xml:space="preserve">Partner with licensed compliance provider; tiered KYC</w:t>
            </w:r>
          </w:p>
        </w:tc>
      </w:tr>
      <w:tr>
        <w:tc>
          <w:tcPr/>
          <w:p>
            <w:pPr>
              <w:pStyle w:val="Compact"/>
              <w:jc w:val="left"/>
            </w:pPr>
            <w:r>
              <w:t xml:space="preserve">Trust / migrant preference for cash/bank remittances</w:t>
            </w:r>
          </w:p>
        </w:tc>
        <w:tc>
          <w:tcPr/>
          <w:p>
            <w:pPr>
              <w:pStyle w:val="Compact"/>
              <w:jc w:val="left"/>
            </w:pPr>
            <w:r>
              <w:t xml:space="preserve">Medium</w:t>
            </w:r>
          </w:p>
        </w:tc>
        <w:tc>
          <w:tcPr/>
          <w:p>
            <w:pPr>
              <w:pStyle w:val="Compact"/>
              <w:jc w:val="left"/>
            </w:pPr>
            <w:r>
              <w:t xml:space="preserve">Agent network for cash-out; fixed-fee pricing for predictability</w:t>
            </w:r>
          </w:p>
        </w:tc>
      </w:tr>
      <w:tr>
        <w:tc>
          <w:tcPr/>
          <w:p>
            <w:pPr>
              <w:pStyle w:val="Compact"/>
              <w:jc w:val="left"/>
            </w:pPr>
            <w:r>
              <w:t xml:space="preserve">Competition from Wise, WorldRemit (digital MTOs)</w:t>
            </w:r>
          </w:p>
        </w:tc>
        <w:tc>
          <w:tcPr/>
          <w:p>
            <w:pPr>
              <w:pStyle w:val="Compact"/>
              <w:jc w:val="left"/>
            </w:pPr>
            <w:r>
              <w:t xml:space="preserve">Medium</w:t>
            </w:r>
          </w:p>
        </w:tc>
        <w:tc>
          <w:tcPr/>
          <w:p>
            <w:pPr>
              <w:pStyle w:val="Compact"/>
              <w:jc w:val="left"/>
            </w:pPr>
            <w:r>
              <w:t xml:space="preserve">Cost advantage (1-2% vs. 5-8%); speed advantage (seconds vs. days)</w:t>
            </w:r>
          </w:p>
        </w:tc>
      </w:tr>
    </w:tbl>
    <w:p>
      <w:r>
        <w:pict>
          <v:rect style="width:0;height:1.5pt" o:hralign="center" o:hrstd="t" o:hr="t"/>
        </w:pict>
      </w:r>
    </w:p>
    <w:bookmarkEnd w:id="74"/>
    <w:bookmarkEnd w:id="75"/>
    <w:bookmarkStart w:id="78" w:name="X76333ff5a7674fb6d8e701335e6c192d0f5b9fa"/>
    <w:p>
      <w:pPr>
        <w:pStyle w:val="Heading2"/>
      </w:pPr>
      <w:r>
        <w:t xml:space="preserve">3.6 Synthesis: The Five Opportunities as an Ecosystem</w:t>
      </w:r>
    </w:p>
    <w:p>
      <w:pPr>
        <w:pStyle w:val="FirstParagraph"/>
      </w:pPr>
      <w:r>
        <w:t xml:space="preserve">The five opportunities are not independent market segments — they form an interconnected ecosystem where each reinforces the others.</w:t>
      </w:r>
    </w:p>
    <w:tbl>
      <w:tblPr>
        <w:tblStyle w:val="Table"/>
        <w:tblW w:type="pct" w:w="5000"/>
        <w:tblLook w:firstRow="1" w:lastRow="0" w:firstColumn="0" w:lastColumn="0" w:noHBand="0" w:noVBand="0" w:val="0020"/>
      </w:tblPr>
      <w:tblGrid>
        <w:gridCol w:w="1906"/>
        <w:gridCol w:w="3226"/>
        <w:gridCol w:w="2786"/>
      </w:tblGrid>
      <w:tr>
        <w:trPr>
          <w:tblHeader w:val="true"/>
        </w:trPr>
        <w:tc>
          <w:tcPr/>
          <w:p>
            <w:pPr>
              <w:pStyle w:val="Compact"/>
              <w:jc w:val="left"/>
            </w:pPr>
            <w:r>
              <w:t xml:space="preserve">Opportunity</w:t>
            </w:r>
          </w:p>
        </w:tc>
        <w:tc>
          <w:tcPr/>
          <w:p>
            <w:pPr>
              <w:pStyle w:val="Compact"/>
              <w:jc w:val="left"/>
            </w:pPr>
            <w:r>
              <w:t xml:space="preserve">Primary Revenue Stream</w:t>
            </w:r>
          </w:p>
        </w:tc>
        <w:tc>
          <w:tcPr/>
          <w:p>
            <w:pPr>
              <w:pStyle w:val="Compact"/>
              <w:jc w:val="left"/>
            </w:pPr>
            <w:r>
              <w:t xml:space="preserve">Creates Demand For</w:t>
            </w:r>
          </w:p>
        </w:tc>
      </w:tr>
      <w:tr>
        <w:tc>
          <w:tcPr/>
          <w:p>
            <w:pPr>
              <w:pStyle w:val="Compact"/>
              <w:jc w:val="left"/>
            </w:pPr>
            <w:r>
              <w:t xml:space="preserve">4. Education &amp; Certification</w:t>
            </w:r>
          </w:p>
        </w:tc>
        <w:tc>
          <w:tcPr/>
          <w:p>
            <w:pPr>
              <w:pStyle w:val="Compact"/>
              <w:jc w:val="left"/>
            </w:pPr>
            <w:r>
              <w:t xml:space="preserve">Course/certification fees (USD 15-30M)</w:t>
            </w:r>
          </w:p>
        </w:tc>
        <w:tc>
          <w:tcPr/>
          <w:p>
            <w:pPr>
              <w:pStyle w:val="Compact"/>
              <w:jc w:val="left"/>
            </w:pPr>
            <w:r>
              <w:t xml:space="preserve">Advisor talent for wealth management</w:t>
            </w:r>
          </w:p>
        </w:tc>
      </w:tr>
      <w:tr>
        <w:tc>
          <w:tcPr/>
          <w:p>
            <w:pPr>
              <w:pStyle w:val="Compact"/>
              <w:jc w:val="left"/>
            </w:pPr>
            <w:r>
              <w:t xml:space="preserve">1. Wealth Management</w:t>
            </w:r>
          </w:p>
        </w:tc>
        <w:tc>
          <w:tcPr/>
          <w:p>
            <w:pPr>
              <w:pStyle w:val="Compact"/>
              <w:jc w:val="left"/>
            </w:pPr>
            <w:r>
              <w:t xml:space="preserve">Advisory fees (EUR 75-300M)</w:t>
            </w:r>
          </w:p>
        </w:tc>
        <w:tc>
          <w:tcPr/>
          <w:p>
            <w:pPr>
              <w:pStyle w:val="Compact"/>
              <w:jc w:val="left"/>
            </w:pPr>
            <w:r>
              <w:t xml:space="preserve">Inheritance, lending, remittance services</w:t>
            </w:r>
          </w:p>
        </w:tc>
      </w:tr>
      <w:tr>
        <w:tc>
          <w:tcPr/>
          <w:p>
            <w:pPr>
              <w:pStyle w:val="Compact"/>
              <w:jc w:val="left"/>
            </w:pPr>
            <w:r>
              <w:t xml:space="preserve">3. Inheritance &amp; Estate Planning</w:t>
            </w:r>
          </w:p>
        </w:tc>
        <w:tc>
          <w:tcPr/>
          <w:p>
            <w:pPr>
              <w:pStyle w:val="Compact"/>
              <w:jc w:val="left"/>
            </w:pPr>
            <w:r>
              <w:t xml:space="preserve">Service fees (EUR 100-500M)</w:t>
            </w:r>
          </w:p>
        </w:tc>
        <w:tc>
          <w:tcPr/>
          <w:p>
            <w:pPr>
              <w:pStyle w:val="Compact"/>
              <w:jc w:val="left"/>
            </w:pPr>
            <w:r>
              <w:t xml:space="preserve">Ongoing wealth management relationship</w:t>
            </w:r>
          </w:p>
        </w:tc>
      </w:tr>
      <w:tr>
        <w:tc>
          <w:tcPr/>
          <w:p>
            <w:pPr>
              <w:pStyle w:val="Compact"/>
              <w:jc w:val="left"/>
            </w:pPr>
            <w:r>
              <w:t xml:space="preserve">2. Bitcoin-Secured Lending</w:t>
            </w:r>
          </w:p>
        </w:tc>
        <w:tc>
          <w:tcPr/>
          <w:p>
            <w:pPr>
              <w:pStyle w:val="Compact"/>
              <w:jc w:val="left"/>
            </w:pPr>
            <w:r>
              <w:t xml:space="preserve">Interest margin (USD 3.4-8.0M)</w:t>
            </w:r>
          </w:p>
        </w:tc>
        <w:tc>
          <w:tcPr/>
          <w:p>
            <w:pPr>
              <w:pStyle w:val="Compact"/>
              <w:jc w:val="left"/>
            </w:pPr>
            <w:r>
              <w:t xml:space="preserve">Wealth management client retention</w:t>
            </w:r>
          </w:p>
        </w:tc>
      </w:tr>
      <w:tr>
        <w:tc>
          <w:tcPr/>
          <w:p>
            <w:pPr>
              <w:pStyle w:val="Compact"/>
              <w:jc w:val="left"/>
            </w:pPr>
            <w:r>
              <w:t xml:space="preserve">5. Remittance Corridors</w:t>
            </w:r>
          </w:p>
        </w:tc>
        <w:tc>
          <w:tcPr/>
          <w:p>
            <w:pPr>
              <w:pStyle w:val="Compact"/>
              <w:jc w:val="left"/>
            </w:pPr>
            <w:r>
              <w:t xml:space="preserve">Transaction fees (EUR 6-37M)</w:t>
            </w:r>
          </w:p>
        </w:tc>
        <w:tc>
          <w:tcPr/>
          <w:p>
            <w:pPr>
              <w:pStyle w:val="Compact"/>
              <w:jc w:val="left"/>
            </w:pPr>
            <w:r>
              <w:t xml:space="preserve">HNWI onboarding; cross-border wealth flows</w:t>
            </w:r>
          </w:p>
        </w:tc>
      </w:tr>
    </w:tbl>
    <w:bookmarkStart w:id="76" w:name="cross-cutting-strategic-implications"/>
    <w:p>
      <w:pPr>
        <w:pStyle w:val="Heading3"/>
      </w:pPr>
      <w:r>
        <w:t xml:space="preserve">Cross-Cutting Strategic Implications</w:t>
      </w:r>
    </w:p>
    <w:p>
      <w:pPr>
        <w:numPr>
          <w:ilvl w:val="0"/>
          <w:numId w:val="1032"/>
        </w:numPr>
        <w:pStyle w:val="Compact"/>
      </w:pPr>
      <w:r>
        <w:rPr>
          <w:bCs/>
          <w:b/>
        </w:rPr>
        <w:t xml:space="preserve">Education is the entry point</w:t>
      </w:r>
      <w:r>
        <w:t xml:space="preserve">: Professional certification (Opportunity 4) creates the advisor talent pool needed for wealth management (Opportunity 1) — forming a self-reinforcing flywheel</w:t>
      </w:r>
      <w:r>
        <w:t xml:space="preserve"> </w:t>
      </w:r>
      <w:fldSimple w:instr="NOTEREF _Ref_Footnote_87 \h \f">
        <w:r>
          <w:rPr>
            <w:vertAlign w:val="superscript"/>
          </w:rPr>
          <w:t>87</w:t>
        </w:r>
      </w:fldSimple>
      <w:r>
        <w:t xml:space="preserve"> </w:t>
      </w:r>
      <w:fldSimple w:instr="NOTEREF _Ref_Footnote_73 \h \f">
        <w:r>
          <w:rPr>
            <w:vertAlign w:val="superscript"/>
          </w:rPr>
          <w:t>73</w:t>
        </w:r>
      </w:fldSimple>
      <w:r>
        <w:t xml:space="preserve">-</w:t>
      </w:r>
      <w:r>
        <w:t xml:space="preserve"> </w:t>
      </w:r>
      <w:r>
        <w:rPr>
          <w:bCs/>
          <w:b/>
        </w:rPr>
        <w:t xml:space="preserve">Wealth management is the anchor</w:t>
      </w:r>
      <w:r>
        <w:t xml:space="preserve">: HNWI clients generate the highest lifetime value and create demand for inheritance (Opportunity 3) and lending (Opportunity 2) services</w:t>
      </w:r>
      <w:r>
        <w:t xml:space="preserve"> </w:t>
      </w:r>
      <w:fldSimple w:instr="NOTEREF _Ref_Footnote_71 \h \f">
        <w:r>
          <w:rPr>
            <w:vertAlign w:val="superscript"/>
          </w:rPr>
          <w:t>71</w:t>
        </w:r>
      </w:fldSimple>
      <w:r>
        <w:t xml:space="preserve"> </w:t>
      </w:r>
      <w:fldSimple w:instr="NOTEREF _Ref_Footnote_74 \h \f">
        <w:r>
          <w:rPr>
            <w:vertAlign w:val="superscript"/>
          </w:rPr>
          <w:t>74</w:t>
        </w:r>
      </w:fldSimple>
      <w:r>
        <w:t xml:space="preserve">-</w:t>
      </w:r>
      <w:r>
        <w:t xml:space="preserve"> </w:t>
      </w:r>
      <w:r>
        <w:rPr>
          <w:bCs/>
          <w:b/>
        </w:rPr>
        <w:t xml:space="preserve">Remittances as HNWI onboarding</w:t>
      </w:r>
      <w:r>
        <w:t xml:space="preserve">: EU-to-Africa remittances serve as a pathway for European HNWIs and family offices with international exposure to adopt Bitcoin-native services</w:t>
      </w:r>
      <w:r>
        <w:t xml:space="preserve"> </w:t>
      </w:r>
      <w:fldSimple w:instr="NOTEREF _Ref_Footnote_93 \h \f">
        <w:r>
          <w:rPr>
            <w:vertAlign w:val="superscript"/>
          </w:rPr>
          <w:t>93</w:t>
        </w:r>
      </w:fldSimple>
      <w:r>
        <w:t xml:space="preserve">-</w:t>
      </w:r>
      <w:r>
        <w:t xml:space="preserve"> </w:t>
      </w:r>
      <w:r>
        <w:rPr>
          <w:bCs/>
          <w:b/>
        </w:rPr>
        <w:t xml:space="preserve">A vertically integrated Bitcoin-only service provider</w:t>
      </w:r>
      <w:r>
        <w:t xml:space="preserve"> </w:t>
      </w:r>
      <w:r>
        <w:t xml:space="preserve">could capture multiple revenue streams simultaneously, with each service cross-selling the others</w:t>
      </w:r>
    </w:p>
    <w:p>
      <w:pPr>
        <w:numPr>
          <w:ilvl w:val="0"/>
          <w:numId w:val="1032"/>
        </w:numPr>
        <w:pStyle w:val="Compact"/>
      </w:pPr>
      <w:r>
        <w:rPr>
          <w:bCs/>
          <w:b/>
        </w:rPr>
        <w:t xml:space="preserve">Aggregate addressable market</w:t>
      </w:r>
      <w:r>
        <w:t xml:space="preserve">: EUR 2-4 billion across all five segments, with the first entrants in each category defining the standard</w:t>
      </w:r>
    </w:p>
    <w:bookmarkEnd w:id="76"/>
    <w:bookmarkStart w:id="77" w:name="why-europe-why-bitcoin-only-why-now"/>
    <w:p>
      <w:pPr>
        <w:pStyle w:val="Heading3"/>
      </w:pPr>
      <w:r>
        <w:t xml:space="preserve">Why Europe, Why Bitcoin-Only, Why Now</w:t>
      </w:r>
    </w:p>
    <w:tbl>
      <w:tblPr>
        <w:tblStyle w:val="Table"/>
        <w:tblW w:type="pct" w:w="5000"/>
        <w:tblLook w:firstRow="1" w:lastRow="0" w:firstColumn="0" w:lastColumn="0" w:noHBand="0" w:noVBand="0" w:val="0020"/>
      </w:tblPr>
      <w:tblGrid>
        <w:gridCol w:w="1508"/>
        <w:gridCol w:w="4902"/>
        <w:gridCol w:w="1508"/>
      </w:tblGrid>
      <w:tr>
        <w:trPr>
          <w:tblHeader w:val="true"/>
        </w:trPr>
        <w:tc>
          <w:tcPr/>
          <w:p>
            <w:pPr>
              <w:pStyle w:val="Compact"/>
              <w:jc w:val="left"/>
            </w:pPr>
            <w:r>
              <w:t xml:space="preserve">Factor</w:t>
            </w:r>
          </w:p>
        </w:tc>
        <w:tc>
          <w:tcPr/>
          <w:p>
            <w:pPr>
              <w:pStyle w:val="Compact"/>
              <w:jc w:val="left"/>
            </w:pPr>
            <w:r>
              <w:t xml:space="preserve">Europe-Specific Advantage</w:t>
            </w:r>
          </w:p>
        </w:tc>
        <w:tc>
          <w:tcPr/>
          <w:p>
            <w:pPr>
              <w:pStyle w:val="Compact"/>
              <w:jc w:val="left"/>
            </w:pPr>
            <w:r>
              <w:t xml:space="preserve">Source</w:t>
            </w:r>
          </w:p>
        </w:tc>
      </w:tr>
      <w:tr>
        <w:tc>
          <w:tcPr/>
          <w:p>
            <w:pPr>
              <w:pStyle w:val="Compact"/>
              <w:jc w:val="left"/>
            </w:pPr>
            <w:r>
              <w:t xml:space="preserve">Regulatory maturity</w:t>
            </w:r>
          </w:p>
        </w:tc>
        <w:tc>
          <w:tcPr/>
          <w:p>
            <w:pPr>
              <w:pStyle w:val="Compact"/>
              <w:jc w:val="left"/>
            </w:pPr>
            <w:r>
              <w:t xml:space="preserve">MiCA provides legal clarity; non-custodial explicitly exempt</w:t>
            </w:r>
          </w:p>
        </w:tc>
        <w:tc>
          <w:tcPr/>
          <w:p>
            <w:pPr>
              <w:pStyle w:val="Compact"/>
              <w:jc w:val="left"/>
            </w:pPr>
            <w:fldSimple w:instr="NOTEREF _Ref_Footnote_42 \h \f">
              <w:r>
                <w:rPr>
                  <w:vertAlign w:val="superscript"/>
                </w:rPr>
                <w:t>42</w:t>
              </w:r>
            </w:fldSimple>
            <w:r>
              <w:t xml:space="preserve"> </w:t>
            </w:r>
            <w:fldSimple w:instr="NOTEREF _Ref_Footnote_78 \h \f">
              <w:r>
                <w:rPr>
                  <w:vertAlign w:val="superscript"/>
                </w:rPr>
                <w:t>78</w:t>
              </w:r>
            </w:fldSimple>
          </w:p>
        </w:tc>
      </w:tr>
      <w:tr>
        <w:tc>
          <w:tcPr/>
          <w:p>
            <w:pPr>
              <w:pStyle w:val="Compact"/>
              <w:jc w:val="left"/>
            </w:pPr>
            <w:r>
              <w:t xml:space="preserve">Wealth concentration</w:t>
            </w:r>
          </w:p>
        </w:tc>
        <w:tc>
          <w:tcPr/>
          <w:p>
            <w:pPr>
              <w:pStyle w:val="Compact"/>
              <w:jc w:val="left"/>
            </w:pPr>
            <w:r>
              <w:t xml:space="preserve">EUR 15-20 trillion in HNWI/family office assets</w:t>
            </w:r>
          </w:p>
        </w:tc>
        <w:tc>
          <w:tcPr/>
          <w:p>
            <w:pPr>
              <w:pStyle w:val="Compact"/>
              <w:jc w:val="left"/>
            </w:pPr>
            <w:fldSimple w:instr="NOTEREF _Ref_Footnote_71 \h \f">
              <w:r>
                <w:rPr>
                  <w:vertAlign w:val="superscript"/>
                </w:rPr>
                <w:t>71</w:t>
              </w:r>
            </w:fldSimple>
          </w:p>
        </w:tc>
      </w:tr>
      <w:tr>
        <w:tc>
          <w:tcPr/>
          <w:p>
            <w:pPr>
              <w:pStyle w:val="Compact"/>
              <w:jc w:val="left"/>
            </w:pPr>
            <w:r>
              <w:t xml:space="preserve">Cross-border friction</w:t>
            </w:r>
          </w:p>
        </w:tc>
        <w:tc>
          <w:tcPr/>
          <w:p>
            <w:pPr>
              <w:pStyle w:val="Compact"/>
              <w:jc w:val="left"/>
            </w:pPr>
            <w:r>
              <w:t xml:space="preserve">27 countries with currency and regulatory fragmentation</w:t>
            </w:r>
          </w:p>
        </w:tc>
        <w:tc>
          <w:tcPr/>
          <w:p>
            <w:pPr>
              <w:pStyle w:val="Compact"/>
              <w:jc w:val="left"/>
            </w:pPr>
            <w:r>
              <w:t xml:space="preserve">—</w:t>
            </w:r>
          </w:p>
        </w:tc>
      </w:tr>
      <w:tr>
        <w:tc>
          <w:tcPr/>
          <w:p>
            <w:pPr>
              <w:pStyle w:val="Compact"/>
              <w:jc w:val="left"/>
            </w:pPr>
            <w:r>
              <w:t xml:space="preserve">Cultural alignment</w:t>
            </w:r>
          </w:p>
        </w:tc>
        <w:tc>
          <w:tcPr/>
          <w:p>
            <w:pPr>
              <w:pStyle w:val="Compact"/>
              <w:jc w:val="left"/>
            </w:pPr>
            <w:r>
              <w:t xml:space="preserve">Preference for privacy, self-custody, security aligns with Bitcoin ethos</w:t>
            </w:r>
          </w:p>
        </w:tc>
        <w:tc>
          <w:tcPr/>
          <w:p>
            <w:pPr>
              <w:pStyle w:val="Compact"/>
              <w:jc w:val="left"/>
            </w:pPr>
            <w:fldSimple w:instr="NOTEREF _Ref_Footnote_29 \h \f">
              <w:r>
                <w:rPr>
                  <w:vertAlign w:val="superscript"/>
                </w:rPr>
                <w:t>29</w:t>
              </w:r>
            </w:fldSimple>
            <w:r>
              <w:t xml:space="preserve"> </w:t>
            </w:r>
            <w:fldSimple w:instr="NOTEREF _Ref_Footnote_35 \h \f">
              <w:r>
                <w:rPr>
                  <w:vertAlign w:val="superscript"/>
                </w:rPr>
                <w:t>35</w:t>
              </w:r>
            </w:fldSimple>
          </w:p>
        </w:tc>
      </w:tr>
      <w:tr>
        <w:tc>
          <w:tcPr/>
          <w:p>
            <w:pPr>
              <w:pStyle w:val="Compact"/>
              <w:jc w:val="left"/>
            </w:pPr>
            <w:r>
              <w:t xml:space="preserve">Latent demand</w:t>
            </w:r>
          </w:p>
        </w:tc>
        <w:tc>
          <w:tcPr/>
          <w:p>
            <w:pPr>
              <w:pStyle w:val="Compact"/>
              <w:jc w:val="left"/>
            </w:pPr>
            <w:r>
              <w:t xml:space="preserve">Lowest adoption (14%) with strongest infrastructure = largest upside</w:t>
            </w:r>
          </w:p>
        </w:tc>
        <w:tc>
          <w:tcPr/>
          <w:p>
            <w:pPr>
              <w:pStyle w:val="Compact"/>
              <w:jc w:val="left"/>
            </w:pPr>
            <w:fldSimple w:instr="NOTEREF _Ref_Footnote_71 \h \f">
              <w:r>
                <w:rPr>
                  <w:vertAlign w:val="superscript"/>
                </w:rPr>
                <w:t>71</w:t>
              </w:r>
            </w:fldSimple>
          </w:p>
        </w:tc>
      </w:tr>
      <w:tr>
        <w:tc>
          <w:tcPr/>
          <w:p>
            <w:pPr>
              <w:pStyle w:val="Compact"/>
              <w:jc w:val="left"/>
            </w:pPr>
            <w:r>
              <w:t xml:space="preserve">Lightning infrastructure</w:t>
            </w:r>
          </w:p>
        </w:tc>
        <w:tc>
          <w:tcPr/>
          <w:p>
            <w:pPr>
              <w:pStyle w:val="Compact"/>
              <w:jc w:val="left"/>
            </w:pPr>
            <w:r>
              <w:t xml:space="preserve">Germany #2 in nodes globally (13.4%); 5 of top 10 countries are European</w:t>
            </w:r>
          </w:p>
        </w:tc>
        <w:tc>
          <w:tcPr/>
          <w:p>
            <w:pPr>
              <w:pStyle w:val="Compact"/>
              <w:jc w:val="left"/>
            </w:pPr>
            <w:fldSimple w:instr="NOTEREF _Ref_Footnote_51 \h \f">
              <w:r>
                <w:rPr>
                  <w:vertAlign w:val="superscript"/>
                </w:rPr>
                <w:t>51</w:t>
              </w:r>
            </w:fldSimple>
            <w:r>
              <w:t xml:space="preserve"> </w:t>
            </w:r>
            <w:fldSimple w:instr="NOTEREF _Ref_Footnote_54 \h \f">
              <w:r>
                <w:rPr>
                  <w:vertAlign w:val="superscript"/>
                </w:rPr>
                <w:t>54</w:t>
              </w:r>
            </w:fldSimple>
          </w:p>
        </w:tc>
      </w:tr>
    </w:tbl>
    <w:p>
      <w:pPr>
        <w:pStyle w:val="BodyText"/>
      </w:pPr>
      <w:r>
        <w:rPr>
          <w:bCs/>
          <w:b/>
        </w:rPr>
        <w:t xml:space="preserve">Confidence Assessment</w:t>
      </w:r>
      <w:r>
        <w:t xml:space="preserve">: Opportunity sizing combines bottom-up market data (where available) with top-down extrapolation. The wealth management and lending opportunities have the strongest quantifiable data (survey-based adoption rates, market research firm projections). Inheritance and education markets rely more heavily on extrapolation from adjacent markets. Remittance data is the most robust, sourced from World Bank and SARB official statistics. All five opportunities are validated by at least one market entrant (Relai’s lending launch, Bitpanda Wealth, Strike’s remittance expansion) confirming demand existence, even where exact market sizing involves estimation.</w:t>
      </w:r>
    </w:p>
    <w:bookmarkEnd w:id="77"/>
    <w:bookmarkEnd w:id="78"/>
    <w:bookmarkEnd w:id="79"/>
    <w:bookmarkStart w:id="95" w:name="where-money-is-flowing"/>
    <w:p>
      <w:pPr>
        <w:pStyle w:val="Heading1"/>
      </w:pPr>
      <w:r>
        <w:t xml:space="preserve">4. Where Money Is Flowing</w:t>
      </w:r>
    </w:p>
    <w:bookmarkStart w:id="83" w:name="venture-capital-deployment"/>
    <w:p>
      <w:pPr>
        <w:pStyle w:val="Heading2"/>
      </w:pPr>
      <w:r>
        <w:t xml:space="preserve">4.1 Venture Capital Deployment</w:t>
      </w:r>
    </w:p>
    <w:bookmarkStart w:id="80" w:name="Xa5bb1e46a50a96866e31cef9d4565163329f5d9"/>
    <w:p>
      <w:pPr>
        <w:pStyle w:val="Heading3"/>
      </w:pPr>
      <w:r>
        <w:t xml:space="preserve">4.1.1 Top-Funded European Bitcoin-Only Companies</w:t>
      </w:r>
    </w:p>
    <w:tbl>
      <w:tblPr>
        <w:tblStyle w:val="Table"/>
        <w:tblW w:type="pct" w:w="5000"/>
        <w:tblLook w:firstRow="1" w:lastRow="0" w:firstColumn="0" w:lastColumn="0" w:noHBand="0" w:noVBand="0" w:val="0020"/>
      </w:tblPr>
      <w:tblGrid>
        <w:gridCol w:w="1168"/>
        <w:gridCol w:w="1168"/>
        <w:gridCol w:w="1817"/>
        <w:gridCol w:w="1817"/>
        <w:gridCol w:w="1947"/>
      </w:tblGrid>
      <w:tr>
        <w:trPr>
          <w:tblHeader w:val="true"/>
        </w:trPr>
        <w:tc>
          <w:tcPr/>
          <w:p>
            <w:pPr>
              <w:pStyle w:val="Compact"/>
              <w:jc w:val="left"/>
            </w:pPr>
            <w:r>
              <w:t xml:space="preserve">Company</w:t>
            </w:r>
          </w:p>
        </w:tc>
        <w:tc>
          <w:tcPr/>
          <w:p>
            <w:pPr>
              <w:pStyle w:val="Compact"/>
              <w:jc w:val="left"/>
            </w:pPr>
            <w:r>
              <w:t xml:space="preserve">Country</w:t>
            </w:r>
          </w:p>
        </w:tc>
        <w:tc>
          <w:tcPr/>
          <w:p>
            <w:pPr>
              <w:pStyle w:val="Compact"/>
              <w:jc w:val="left"/>
            </w:pPr>
            <w:r>
              <w:t xml:space="preserve">Total Funding</w:t>
            </w:r>
          </w:p>
        </w:tc>
        <w:tc>
          <w:tcPr/>
          <w:p>
            <w:pPr>
              <w:pStyle w:val="Compact"/>
              <w:jc w:val="left"/>
            </w:pPr>
            <w:r>
              <w:t xml:space="preserve">Latest Round</w:t>
            </w:r>
          </w:p>
        </w:tc>
        <w:tc>
          <w:tcPr/>
          <w:p>
            <w:pPr>
              <w:pStyle w:val="Compact"/>
              <w:jc w:val="left"/>
            </w:pPr>
            <w:r>
              <w:t xml:space="preserve">Key Investors</w:t>
            </w:r>
          </w:p>
        </w:tc>
      </w:tr>
      <w:tr>
        <w:tc>
          <w:tcPr/>
          <w:p>
            <w:pPr>
              <w:pStyle w:val="Compact"/>
              <w:jc w:val="left"/>
            </w:pPr>
            <w:r>
              <w:t xml:space="preserve">Ledger</w:t>
            </w:r>
          </w:p>
        </w:tc>
        <w:tc>
          <w:tcPr/>
          <w:p>
            <w:pPr>
              <w:pStyle w:val="Compact"/>
              <w:jc w:val="left"/>
            </w:pPr>
            <w:r>
              <w:t xml:space="preserve">France</w:t>
            </w:r>
          </w:p>
        </w:tc>
        <w:tc>
          <w:tcPr/>
          <w:p>
            <w:pPr>
              <w:pStyle w:val="Compact"/>
              <w:jc w:val="left"/>
            </w:pPr>
            <w:r>
              <w:t xml:space="preserve">$575M</w:t>
            </w:r>
            <w:r>
              <w:t xml:space="preserve"> </w:t>
            </w:r>
            <w:r>
              <w:rPr>
                <w:vertAlign w:val="superscript"/>
              </w:rPr>
              <w:footnoteReference w:id="102"/>
            </w:r>
          </w:p>
        </w:tc>
        <w:tc>
          <w:tcPr/>
          <w:p>
            <w:pPr>
              <w:pStyle w:val="Compact"/>
              <w:jc w:val="left"/>
            </w:pPr>
            <w:r>
              <w:t xml:space="preserve">Series C ext. ($109M)</w:t>
            </w:r>
          </w:p>
        </w:tc>
        <w:tc>
          <w:tcPr/>
          <w:p>
            <w:pPr>
              <w:pStyle w:val="Compact"/>
              <w:jc w:val="left"/>
            </w:pPr>
            <w:r>
              <w:t xml:space="preserve">10T Holdings, Samsung Ventures, Cathay Innovation, True Global Ventures</w:t>
            </w:r>
          </w:p>
        </w:tc>
      </w:tr>
      <w:tr>
        <w:tc>
          <w:tcPr/>
          <w:p>
            <w:pPr>
              <w:pStyle w:val="Compact"/>
              <w:jc w:val="left"/>
            </w:pPr>
            <w:r>
              <w:t xml:space="preserve">Relai</w:t>
            </w:r>
          </w:p>
        </w:tc>
        <w:tc>
          <w:tcPr/>
          <w:p>
            <w:pPr>
              <w:pStyle w:val="Compact"/>
              <w:jc w:val="left"/>
            </w:pPr>
            <w:r>
              <w:t xml:space="preserve">Switzerland</w:t>
            </w:r>
          </w:p>
        </w:tc>
        <w:tc>
          <w:tcPr/>
          <w:p>
            <w:pPr>
              <w:pStyle w:val="Compact"/>
              <w:jc w:val="left"/>
            </w:pPr>
            <w:r>
              <w:t xml:space="preserve">~$24.4M</w:t>
            </w:r>
            <w:r>
              <w:t xml:space="preserve"> </w:t>
            </w:r>
            <w:r>
              <w:rPr>
                <w:vertAlign w:val="superscript"/>
              </w:rPr>
              <w:footnoteReference w:id="103"/>
            </w:r>
          </w:p>
        </w:tc>
        <w:tc>
          <w:tcPr/>
          <w:p>
            <w:pPr>
              <w:pStyle w:val="Compact"/>
              <w:jc w:val="left"/>
            </w:pPr>
            <w:r>
              <w:t xml:space="preserve">Series A ($12M)</w:t>
            </w:r>
          </w:p>
        </w:tc>
        <w:tc>
          <w:tcPr/>
          <w:p>
            <w:pPr>
              <w:pStyle w:val="Compact"/>
              <w:jc w:val="left"/>
            </w:pPr>
            <w:r>
              <w:t xml:space="preserve">Ego Death Capital, Plan B Bitcoin Fund, Redalpine, Timechain</w:t>
            </w:r>
          </w:p>
        </w:tc>
      </w:tr>
      <w:tr>
        <w:tc>
          <w:tcPr/>
          <w:p>
            <w:pPr>
              <w:pStyle w:val="Compact"/>
              <w:jc w:val="left"/>
            </w:pPr>
            <w:r>
              <w:t xml:space="preserve">Bitstack</w:t>
            </w:r>
          </w:p>
        </w:tc>
        <w:tc>
          <w:tcPr/>
          <w:p>
            <w:pPr>
              <w:pStyle w:val="Compact"/>
              <w:jc w:val="left"/>
            </w:pPr>
            <w:r>
              <w:t xml:space="preserve">France</w:t>
            </w:r>
          </w:p>
        </w:tc>
        <w:tc>
          <w:tcPr/>
          <w:p>
            <w:pPr>
              <w:pStyle w:val="Compact"/>
              <w:jc w:val="left"/>
            </w:pPr>
            <w:r>
              <w:t xml:space="preserve">~$22M</w:t>
            </w:r>
            <w:r>
              <w:t xml:space="preserve"> </w:t>
            </w:r>
            <w:r>
              <w:rPr>
                <w:vertAlign w:val="superscript"/>
              </w:rPr>
              <w:footnoteReference w:id="104"/>
            </w:r>
            <w:r>
              <w:t xml:space="preserve"> </w:t>
            </w:r>
            <w:r>
              <w:rPr>
                <w:vertAlign w:val="superscript"/>
              </w:rPr>
              <w:footnoteReference w:id="105"/>
            </w:r>
            <w:r>
              <w:t xml:space="preserve"> </w:t>
            </w:r>
            <w:r>
              <w:rPr>
                <w:vertAlign w:val="superscript"/>
              </w:rPr>
              <w:footnoteReference w:id="106"/>
            </w:r>
          </w:p>
        </w:tc>
        <w:tc>
          <w:tcPr/>
          <w:p>
            <w:pPr>
              <w:pStyle w:val="Compact"/>
              <w:jc w:val="left"/>
            </w:pPr>
            <w:r>
              <w:t xml:space="preserve">Series A ($15M)</w:t>
            </w:r>
          </w:p>
        </w:tc>
        <w:tc>
          <w:tcPr/>
          <w:p>
            <w:pPr>
              <w:pStyle w:val="Compact"/>
              <w:jc w:val="left"/>
            </w:pPr>
            <w:r>
              <w:t xml:space="preserve">13books Capital, Y Combinator, Stillmark, AG2R LA MONDIALE</w:t>
            </w:r>
          </w:p>
        </w:tc>
      </w:tr>
      <w:tr>
        <w:tc>
          <w:tcPr/>
          <w:p>
            <w:pPr>
              <w:pStyle w:val="Compact"/>
              <w:jc w:val="left"/>
            </w:pPr>
            <w:r>
              <w:t xml:space="preserve">Tangem</w:t>
            </w:r>
          </w:p>
        </w:tc>
        <w:tc>
          <w:tcPr/>
          <w:p>
            <w:pPr>
              <w:pStyle w:val="Compact"/>
              <w:jc w:val="left"/>
            </w:pPr>
            <w:r>
              <w:t xml:space="preserve">Switzerland</w:t>
            </w:r>
          </w:p>
        </w:tc>
        <w:tc>
          <w:tcPr/>
          <w:p>
            <w:pPr>
              <w:pStyle w:val="Compact"/>
              <w:jc w:val="left"/>
            </w:pPr>
            <w:r>
              <w:t xml:space="preserve">$15M</w:t>
            </w:r>
            <w:r>
              <w:t xml:space="preserve"> </w:t>
            </w:r>
            <w:fldSimple w:instr="NOTEREF _Ref_Footnote_67 \h \f">
              <w:r>
                <w:rPr>
                  <w:vertAlign w:val="superscript"/>
                </w:rPr>
                <w:t>67</w:t>
              </w:r>
            </w:fldSimple>
          </w:p>
        </w:tc>
        <w:tc>
          <w:tcPr/>
          <w:p>
            <w:pPr>
              <w:pStyle w:val="Compact"/>
              <w:jc w:val="left"/>
            </w:pPr>
            <w:r>
              <w:t xml:space="preserve">Strategic (2019)</w:t>
            </w:r>
          </w:p>
        </w:tc>
        <w:tc>
          <w:tcPr/>
          <w:p>
            <w:pPr>
              <w:pStyle w:val="Compact"/>
              <w:jc w:val="left"/>
            </w:pPr>
            <w:r>
              <w:t xml:space="preserve">SBI Crypto Investment (SBI Holdings)</w:t>
            </w:r>
          </w:p>
        </w:tc>
      </w:tr>
      <w:tr>
        <w:tc>
          <w:tcPr/>
          <w:p>
            <w:pPr>
              <w:pStyle w:val="Compact"/>
              <w:jc w:val="left"/>
            </w:pPr>
            <w:r>
              <w:t xml:space="preserve">FUTURE Holdings</w:t>
            </w:r>
          </w:p>
        </w:tc>
        <w:tc>
          <w:tcPr/>
          <w:p>
            <w:pPr>
              <w:pStyle w:val="Compact"/>
              <w:jc w:val="left"/>
            </w:pPr>
            <w:r>
              <w:t xml:space="preserve">Switzerland</w:t>
            </w:r>
          </w:p>
        </w:tc>
        <w:tc>
          <w:tcPr/>
          <w:p>
            <w:pPr>
              <w:pStyle w:val="Compact"/>
              <w:jc w:val="left"/>
            </w:pPr>
            <w:r>
              <w:t xml:space="preserve">~$34M</w:t>
            </w:r>
            <w:r>
              <w:t xml:space="preserve"> </w:t>
            </w:r>
            <w:r>
              <w:rPr>
                <w:vertAlign w:val="superscript"/>
              </w:rPr>
              <w:footnoteReference w:id="107"/>
            </w:r>
          </w:p>
        </w:tc>
        <w:tc>
          <w:tcPr/>
          <w:p>
            <w:pPr>
              <w:pStyle w:val="Compact"/>
              <w:jc w:val="left"/>
            </w:pPr>
            <w:r>
              <w:t xml:space="preserve">Strategic (2025)</w:t>
            </w:r>
          </w:p>
        </w:tc>
        <w:tc>
          <w:tcPr/>
          <w:p>
            <w:pPr>
              <w:pStyle w:val="Compact"/>
              <w:jc w:val="left"/>
            </w:pPr>
            <w:r>
              <w:t xml:space="preserve">Fulgur Ventures, Nakamoto, TOBAM</w:t>
            </w:r>
          </w:p>
        </w:tc>
      </w:tr>
      <w:tr>
        <w:tc>
          <w:tcPr/>
          <w:p>
            <w:pPr>
              <w:pStyle w:val="Compact"/>
              <w:jc w:val="left"/>
            </w:pPr>
            <w:r>
              <w:t xml:space="preserve">ACINQ</w:t>
            </w:r>
          </w:p>
        </w:tc>
        <w:tc>
          <w:tcPr/>
          <w:p>
            <w:pPr>
              <w:pStyle w:val="Compact"/>
              <w:jc w:val="left"/>
            </w:pPr>
            <w:r>
              <w:t xml:space="preserve">France</w:t>
            </w:r>
          </w:p>
        </w:tc>
        <w:tc>
          <w:tcPr/>
          <w:p>
            <w:pPr>
              <w:pStyle w:val="Compact"/>
              <w:jc w:val="left"/>
            </w:pPr>
            <w:r>
              <w:t xml:space="preserve">$10M</w:t>
            </w:r>
            <w:r>
              <w:t xml:space="preserve"> </w:t>
            </w:r>
            <w:r>
              <w:rPr>
                <w:vertAlign w:val="superscript"/>
              </w:rPr>
              <w:footnoteReference w:id="108"/>
            </w:r>
          </w:p>
        </w:tc>
        <w:tc>
          <w:tcPr/>
          <w:p>
            <w:pPr>
              <w:pStyle w:val="Compact"/>
              <w:jc w:val="left"/>
            </w:pPr>
            <w:r>
              <w:t xml:space="preserve">Series B ($8M)</w:t>
            </w:r>
          </w:p>
        </w:tc>
        <w:tc>
          <w:tcPr/>
          <w:p>
            <w:pPr>
              <w:pStyle w:val="Compact"/>
              <w:jc w:val="left"/>
            </w:pPr>
            <w:r>
              <w:t xml:space="preserve">Idinvest Partners, Serena, Bpifrance</w:t>
            </w:r>
          </w:p>
        </w:tc>
      </w:tr>
      <w:tr>
        <w:tc>
          <w:tcPr/>
          <w:p>
            <w:pPr>
              <w:pStyle w:val="Compact"/>
              <w:jc w:val="left"/>
            </w:pPr>
            <w:r>
              <w:t xml:space="preserve">BitDCA (Littlebit)</w:t>
            </w:r>
          </w:p>
        </w:tc>
        <w:tc>
          <w:tcPr/>
          <w:p>
            <w:pPr>
              <w:pStyle w:val="Compact"/>
              <w:jc w:val="left"/>
            </w:pPr>
            <w:r>
              <w:t xml:space="preserve">Czech Republic</w:t>
            </w:r>
          </w:p>
        </w:tc>
        <w:tc>
          <w:tcPr/>
          <w:p>
            <w:pPr>
              <w:pStyle w:val="Compact"/>
              <w:jc w:val="left"/>
            </w:pPr>
            <w:r>
              <w:t xml:space="preserve">€7.6M ($8.3M)</w:t>
            </w:r>
            <w:r>
              <w:t xml:space="preserve"> </w:t>
            </w:r>
            <w:fldSimple w:instr="NOTEREF _Ref_Footnote_46 \h \f">
              <w:r>
                <w:rPr>
                  <w:vertAlign w:val="superscript"/>
                </w:rPr>
                <w:t>46</w:t>
              </w:r>
            </w:fldSimple>
          </w:p>
        </w:tc>
        <w:tc>
          <w:tcPr/>
          <w:p>
            <w:pPr>
              <w:pStyle w:val="Compact"/>
              <w:jc w:val="left"/>
            </w:pPr>
            <w:r>
              <w:t xml:space="preserve">Early-stage</w:t>
            </w:r>
          </w:p>
        </w:tc>
        <w:tc>
          <w:tcPr/>
          <w:p>
            <w:pPr>
              <w:pStyle w:val="Compact"/>
              <w:jc w:val="left"/>
            </w:pPr>
            <w:r>
              <w:t xml:space="preserve">Aleš Minx (ex-PPF Group), Miloslav Vyhnal</w:t>
            </w:r>
          </w:p>
        </w:tc>
      </w:tr>
      <w:tr>
        <w:tc>
          <w:tcPr/>
          <w:p>
            <w:pPr>
              <w:pStyle w:val="Compact"/>
              <w:jc w:val="left"/>
            </w:pPr>
            <w:r>
              <w:t xml:space="preserve">LN Markets</w:t>
            </w:r>
          </w:p>
        </w:tc>
        <w:tc>
          <w:tcPr/>
          <w:p>
            <w:pPr>
              <w:pStyle w:val="Compact"/>
              <w:jc w:val="left"/>
            </w:pPr>
            <w:r>
              <w:t xml:space="preserve">France</w:t>
            </w:r>
          </w:p>
        </w:tc>
        <w:tc>
          <w:tcPr/>
          <w:p>
            <w:pPr>
              <w:pStyle w:val="Compact"/>
              <w:jc w:val="left"/>
            </w:pPr>
            <w:r>
              <w:t xml:space="preserve">$3M</w:t>
            </w:r>
            <w:r>
              <w:t xml:space="preserve"> </w:t>
            </w:r>
            <w:r>
              <w:rPr>
                <w:vertAlign w:val="superscript"/>
              </w:rPr>
              <w:footnoteReference w:id="109"/>
            </w:r>
          </w:p>
        </w:tc>
        <w:tc>
          <w:tcPr/>
          <w:p>
            <w:pPr>
              <w:pStyle w:val="Compact"/>
              <w:jc w:val="left"/>
            </w:pPr>
            <w:r>
              <w:t xml:space="preserve">Seed (2024)</w:t>
            </w:r>
          </w:p>
        </w:tc>
        <w:tc>
          <w:tcPr/>
          <w:p>
            <w:pPr>
              <w:pStyle w:val="Compact"/>
              <w:jc w:val="left"/>
            </w:pPr>
            <w:r>
              <w:t xml:space="preserve">Ego Death Capital, Lemniscap, Timechain</w:t>
            </w:r>
          </w:p>
        </w:tc>
      </w:tr>
      <w:tr>
        <w:tc>
          <w:tcPr/>
          <w:p>
            <w:pPr>
              <w:pStyle w:val="Compact"/>
              <w:jc w:val="left"/>
            </w:pPr>
            <w:r>
              <w:t xml:space="preserve">21bitcoin</w:t>
            </w:r>
          </w:p>
        </w:tc>
        <w:tc>
          <w:tcPr/>
          <w:p>
            <w:pPr>
              <w:pStyle w:val="Compact"/>
              <w:jc w:val="left"/>
            </w:pPr>
            <w:r>
              <w:t xml:space="preserve">Austria</w:t>
            </w:r>
          </w:p>
        </w:tc>
        <w:tc>
          <w:tcPr/>
          <w:p>
            <w:pPr>
              <w:pStyle w:val="Compact"/>
              <w:jc w:val="left"/>
            </w:pPr>
            <w:r>
              <w:t xml:space="preserve">€2.1M ($2.3M)</w:t>
            </w:r>
            <w:r>
              <w:t xml:space="preserve"> </w:t>
            </w:r>
            <w:r>
              <w:rPr>
                <w:vertAlign w:val="superscript"/>
              </w:rPr>
              <w:footnoteReference w:id="110"/>
            </w:r>
          </w:p>
        </w:tc>
        <w:tc>
          <w:tcPr/>
          <w:p>
            <w:pPr>
              <w:pStyle w:val="Compact"/>
              <w:jc w:val="left"/>
            </w:pPr>
            <w:r>
              <w:t xml:space="preserve">Seed (2023)</w:t>
            </w:r>
          </w:p>
        </w:tc>
        <w:tc>
          <w:tcPr/>
          <w:p>
            <w:pPr>
              <w:pStyle w:val="Compact"/>
              <w:jc w:val="left"/>
            </w:pPr>
            <w:r>
              <w:t xml:space="preserve">Volksbank Raiffeisenbank Bayern Mitte</w:t>
            </w:r>
          </w:p>
        </w:tc>
      </w:tr>
    </w:tbl>
    <w:p>
      <w:pPr>
        <w:pStyle w:val="BodyText"/>
      </w:pPr>
      <w:r>
        <w:rPr>
          <w:bCs/>
          <w:b/>
        </w:rPr>
        <w:t xml:space="preserve">Analytical interpretation:</w:t>
      </w:r>
      <w:r>
        <w:t xml:space="preserve"> </w:t>
      </w:r>
      <w:r>
        <w:t xml:space="preserve">France and Switzerland together account for roughly 80% of all tracked VC deployed into European Bitcoin-native companies. Ledger alone represents ~82% of the $700M+ total, distorting aggregate figures. Excluding Ledger, the median funding round for a European Bitcoin-only startup is ~$5–8M, reflecting early-stage market maturity. Swiss companies (Relai, FUTURE, Tangem) show the highest concentration of Bitcoin-only conviction capital.</w:t>
      </w:r>
    </w:p>
    <w:bookmarkEnd w:id="80"/>
    <w:bookmarkStart w:id="81" w:name="Xe03d587cd2bd93dc53a90aaab76e8c1df303400"/>
    <w:p>
      <w:pPr>
        <w:pStyle w:val="Heading3"/>
      </w:pPr>
      <w:r>
        <w:t xml:space="preserve">4.1.2 Bitcoin-Only VC Funds — Institutional Conviction Capital</w:t>
      </w:r>
    </w:p>
    <w:tbl>
      <w:tblPr>
        <w:tblStyle w:val="Table"/>
        <w:tblW w:type="pct" w:w="5000"/>
        <w:tblLook w:firstRow="1" w:lastRow="0" w:firstColumn="0" w:lastColumn="0" w:noHBand="0" w:noVBand="0" w:val="0020"/>
      </w:tblPr>
      <w:tblGrid>
        <w:gridCol w:w="880"/>
        <w:gridCol w:w="1613"/>
        <w:gridCol w:w="1320"/>
        <w:gridCol w:w="1320"/>
        <w:gridCol w:w="2786"/>
      </w:tblGrid>
      <w:tr>
        <w:trPr>
          <w:tblHeader w:val="true"/>
        </w:trPr>
        <w:tc>
          <w:tcPr/>
          <w:p>
            <w:pPr>
              <w:pStyle w:val="Compact"/>
              <w:jc w:val="left"/>
            </w:pPr>
            <w:r>
              <w:t xml:space="preserve">Fund</w:t>
            </w:r>
          </w:p>
        </w:tc>
        <w:tc>
          <w:tcPr/>
          <w:p>
            <w:pPr>
              <w:pStyle w:val="Compact"/>
              <w:jc w:val="left"/>
            </w:pPr>
            <w:r>
              <w:t xml:space="preserve">Fund Size</w:t>
            </w:r>
          </w:p>
        </w:tc>
        <w:tc>
          <w:tcPr/>
          <w:p>
            <w:pPr>
              <w:pStyle w:val="Compact"/>
              <w:jc w:val="left"/>
            </w:pPr>
            <w:r>
              <w:t xml:space="preserve">Vintage</w:t>
            </w:r>
          </w:p>
        </w:tc>
        <w:tc>
          <w:tcPr/>
          <w:p>
            <w:pPr>
              <w:pStyle w:val="Compact"/>
              <w:jc w:val="left"/>
            </w:pPr>
            <w:r>
              <w:t xml:space="preserve">Key GPs</w:t>
            </w:r>
          </w:p>
        </w:tc>
        <w:tc>
          <w:tcPr/>
          <w:p>
            <w:pPr>
              <w:pStyle w:val="Compact"/>
              <w:jc w:val="left"/>
            </w:pPr>
            <w:r>
              <w:t xml:space="preserve">Notable Portfolio</w:t>
            </w:r>
          </w:p>
        </w:tc>
      </w:tr>
      <w:tr>
        <w:tc>
          <w:tcPr/>
          <w:p>
            <w:pPr>
              <w:pStyle w:val="Compact"/>
              <w:jc w:val="left"/>
            </w:pPr>
            <w:r>
              <w:t xml:space="preserve">Ego Death Capital</w:t>
            </w:r>
          </w:p>
        </w:tc>
        <w:tc>
          <w:tcPr/>
          <w:p>
            <w:pPr>
              <w:pStyle w:val="Compact"/>
              <w:jc w:val="left"/>
            </w:pPr>
            <w:r>
              <w:t xml:space="preserve">$100M Fund II</w:t>
            </w:r>
            <w:r>
              <w:t xml:space="preserve"> </w:t>
            </w:r>
            <w:r>
              <w:rPr>
                <w:vertAlign w:val="superscript"/>
              </w:rPr>
              <w:footnoteReference w:id="111"/>
            </w:r>
          </w:p>
        </w:tc>
        <w:tc>
          <w:tcPr/>
          <w:p>
            <w:pPr>
              <w:pStyle w:val="Compact"/>
              <w:jc w:val="left"/>
            </w:pPr>
            <w:r>
              <w:t xml:space="preserve">Jul 2025</w:t>
            </w:r>
          </w:p>
        </w:tc>
        <w:tc>
          <w:tcPr/>
          <w:p>
            <w:pPr>
              <w:pStyle w:val="Compact"/>
              <w:jc w:val="left"/>
            </w:pPr>
            <w:r>
              <w:t xml:space="preserve">Jeff Booth, Lyn Alden, Preston Pysh</w:t>
            </w:r>
          </w:p>
        </w:tc>
        <w:tc>
          <w:tcPr/>
          <w:p>
            <w:pPr>
              <w:pStyle w:val="Compact"/>
              <w:jc w:val="left"/>
            </w:pPr>
            <w:r>
              <w:t xml:space="preserve">Relai, LN Markets, Breez, Fedi</w:t>
            </w:r>
          </w:p>
        </w:tc>
      </w:tr>
      <w:tr>
        <w:tc>
          <w:tcPr/>
          <w:p>
            <w:pPr>
              <w:pStyle w:val="Compact"/>
              <w:jc w:val="left"/>
            </w:pPr>
            <w:r>
              <w:t xml:space="preserve">Trammell Venture Partners</w:t>
            </w:r>
          </w:p>
        </w:tc>
        <w:tc>
          <w:tcPr/>
          <w:p>
            <w:pPr>
              <w:pStyle w:val="Compact"/>
              <w:jc w:val="left"/>
            </w:pPr>
            <w:r>
              <w:t xml:space="preserve">$16M+ deployed</w:t>
            </w:r>
            <w:r>
              <w:t xml:space="preserve"> </w:t>
            </w:r>
            <w:r>
              <w:rPr>
                <w:vertAlign w:val="superscript"/>
              </w:rPr>
              <w:footnoteReference w:id="112"/>
            </w:r>
          </w:p>
        </w:tc>
        <w:tc>
          <w:tcPr/>
          <w:p>
            <w:pPr>
              <w:pStyle w:val="Compact"/>
              <w:jc w:val="left"/>
            </w:pPr>
            <w:r>
              <w:t xml:space="preserve">2022</w:t>
            </w:r>
          </w:p>
        </w:tc>
        <w:tc>
          <w:tcPr/>
          <w:p>
            <w:pPr>
              <w:pStyle w:val="Compact"/>
              <w:jc w:val="left"/>
            </w:pPr>
            <w:r>
              <w:t xml:space="preserve">TVP (institutional LP base)</w:t>
            </w:r>
          </w:p>
        </w:tc>
        <w:tc>
          <w:tcPr/>
          <w:p>
            <w:pPr>
              <w:pStyle w:val="Compact"/>
              <w:jc w:val="left"/>
            </w:pPr>
            <w:r>
              <w:t xml:space="preserve">39+ Bitcoin-native entrepreneurs</w:t>
            </w:r>
          </w:p>
        </w:tc>
      </w:tr>
      <w:tr>
        <w:tc>
          <w:tcPr/>
          <w:p>
            <w:pPr>
              <w:pStyle w:val="Compact"/>
              <w:jc w:val="left"/>
            </w:pPr>
            <w:r>
              <w:t xml:space="preserve">Stillmark</w:t>
            </w:r>
          </w:p>
        </w:tc>
        <w:tc>
          <w:tcPr/>
          <w:p>
            <w:pPr>
              <w:pStyle w:val="Compact"/>
              <w:jc w:val="left"/>
            </w:pPr>
            <w:r>
              <w:t xml:space="preserve">Undisclosed</w:t>
            </w:r>
            <w:r>
              <w:t xml:space="preserve"> </w:t>
            </w:r>
            <w:r>
              <w:rPr>
                <w:vertAlign w:val="superscript"/>
              </w:rPr>
              <w:footnoteReference w:id="113"/>
            </w:r>
          </w:p>
        </w:tc>
        <w:tc>
          <w:tcPr/>
          <w:p>
            <w:pPr>
              <w:pStyle w:val="Compact"/>
              <w:jc w:val="left"/>
            </w:pPr>
            <w:r>
              <w:t xml:space="preserve">2019</w:t>
            </w:r>
          </w:p>
        </w:tc>
        <w:tc>
          <w:tcPr/>
          <w:p>
            <w:pPr>
              <w:pStyle w:val="Compact"/>
              <w:jc w:val="left"/>
            </w:pPr>
            <w:r>
              <w:t xml:space="preserve">Bitcoin-focused seed/Series A</w:t>
            </w:r>
          </w:p>
        </w:tc>
        <w:tc>
          <w:tcPr/>
          <w:p>
            <w:pPr>
              <w:pStyle w:val="Compact"/>
              <w:jc w:val="left"/>
            </w:pPr>
            <w:r>
              <w:t xml:space="preserve">Bitstack (€5M round lead)</w:t>
            </w:r>
          </w:p>
        </w:tc>
      </w:tr>
    </w:tbl>
    <w:p>
      <w:pPr>
        <w:numPr>
          <w:ilvl w:val="0"/>
          <w:numId w:val="1033"/>
        </w:numPr>
        <w:pStyle w:val="Compact"/>
      </w:pPr>
      <w:r>
        <w:t xml:space="preserve">Bitcoin-native Pre-Seed transaction volume rose 767% from 2021 to 2024</w:t>
      </w:r>
      <w:r>
        <w:t xml:space="preserve"> </w:t>
      </w:r>
      <w:r>
        <w:rPr>
          <w:vertAlign w:val="superscript"/>
        </w:rPr>
        <w:footnoteReference w:id="114"/>
      </w:r>
      <w:r>
        <w:t xml:space="preserve">. Pre-Seed deal counts increased 50% YoY in 2024 alone.</w:t>
      </w:r>
    </w:p>
    <w:p>
      <w:pPr>
        <w:numPr>
          <w:ilvl w:val="0"/>
          <w:numId w:val="1033"/>
        </w:numPr>
        <w:pStyle w:val="Compact"/>
      </w:pPr>
      <w:r>
        <w:t xml:space="preserve">194 VC deals mentioning</w:t>
      </w:r>
      <w:r>
        <w:t xml:space="preserve"> </w:t>
      </w:r>
      <w:r>
        <w:t xml:space="preserve">“</w:t>
      </w:r>
      <w:r>
        <w:t xml:space="preserve">Bitcoin</w:t>
      </w:r>
      <w:r>
        <w:t xml:space="preserve">”</w:t>
      </w:r>
      <w:r>
        <w:t xml:space="preserve"> </w:t>
      </w:r>
      <w:r>
        <w:t xml:space="preserve">or</w:t>
      </w:r>
      <w:r>
        <w:t xml:space="preserve"> </w:t>
      </w:r>
      <w:r>
        <w:t xml:space="preserve">“</w:t>
      </w:r>
      <w:r>
        <w:t xml:space="preserve">lightning</w:t>
      </w:r>
      <w:r>
        <w:t xml:space="preserve">”</w:t>
      </w:r>
      <w:r>
        <w:t xml:space="preserve"> </w:t>
      </w:r>
      <w:r>
        <w:t xml:space="preserve">were recorded in 2024, an all-time high, up 32% YoY</w:t>
      </w:r>
      <w:r>
        <w:t xml:space="preserve"> </w:t>
      </w:r>
      <w:fldSimple w:instr="NOTEREF _Ref_Footnote_114 \h \f">
        <w:r>
          <w:rPr>
            <w:vertAlign w:val="superscript"/>
          </w:rPr>
          <w:t>114</w:t>
        </w:r>
      </w:fldSimple>
      <w:r>
        <w:t xml:space="preserve">.</w:t>
      </w:r>
    </w:p>
    <w:p>
      <w:pPr>
        <w:numPr>
          <w:ilvl w:val="0"/>
          <w:numId w:val="1033"/>
        </w:numPr>
        <w:pStyle w:val="Compact"/>
      </w:pPr>
      <w:r>
        <w:t xml:space="preserve">Ego Death Capital’s $100M Fund II is the largest Bitcoin-only venture fund ever closed; target companies have $1M–$3M in revenue at entry</w:t>
      </w:r>
      <w:r>
        <w:t xml:space="preserve"> </w:t>
      </w:r>
      <w:fldSimple w:instr="NOTEREF _Ref_Footnote_111 \h \f">
        <w:r>
          <w:rPr>
            <w:vertAlign w:val="superscript"/>
          </w:rPr>
          <w:t>111</w:t>
        </w:r>
      </w:fldSimple>
      <w:r>
        <w:t xml:space="preserve">.</w:t>
      </w:r>
    </w:p>
    <w:bookmarkEnd w:id="81"/>
    <w:bookmarkStart w:id="82" w:name="aggregate-capital-deployed"/>
    <w:p>
      <w:pPr>
        <w:pStyle w:val="Heading3"/>
      </w:pPr>
      <w:r>
        <w:t xml:space="preserve">4.1.3 Aggregate Capital Deployed</w:t>
      </w:r>
    </w:p>
    <w:tbl>
      <w:tblPr>
        <w:tblStyle w:val="Table"/>
        <w:tblW w:type="pct" w:w="5000"/>
        <w:tblLook w:firstRow="1" w:lastRow="0" w:firstColumn="0" w:lastColumn="0" w:noHBand="0" w:noVBand="0" w:val="0020"/>
      </w:tblPr>
      <w:tblGrid>
        <w:gridCol w:w="3046"/>
        <w:gridCol w:w="2436"/>
        <w:gridCol w:w="2436"/>
      </w:tblGrid>
      <w:tr>
        <w:trPr>
          <w:tblHeader w:val="true"/>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Period</w:t>
            </w:r>
          </w:p>
        </w:tc>
      </w:tr>
      <w:tr>
        <w:tc>
          <w:tcPr/>
          <w:p>
            <w:pPr>
              <w:pStyle w:val="Compact"/>
              <w:jc w:val="left"/>
            </w:pPr>
            <w:r>
              <w:t xml:space="preserve">VC funding (European Bitcoin-only cos)</w:t>
            </w:r>
          </w:p>
        </w:tc>
        <w:tc>
          <w:tcPr/>
          <w:p>
            <w:pPr>
              <w:pStyle w:val="Compact"/>
              <w:jc w:val="left"/>
            </w:pPr>
            <w:r>
              <w:t xml:space="preserve">$700M+</w:t>
            </w:r>
          </w:p>
        </w:tc>
        <w:tc>
          <w:tcPr/>
          <w:p>
            <w:pPr>
              <w:pStyle w:val="Compact"/>
              <w:jc w:val="left"/>
            </w:pPr>
            <w:r>
              <w:t xml:space="preserve">Cumulative, all rounds</w:t>
            </w:r>
          </w:p>
        </w:tc>
      </w:tr>
      <w:tr>
        <w:tc>
          <w:tcPr/>
          <w:p>
            <w:pPr>
              <w:pStyle w:val="Compact"/>
              <w:jc w:val="left"/>
            </w:pPr>
            <w:r>
              <w:t xml:space="preserve">Grant funding (OpenSats + HRF + Spiral + Brink)</w:t>
            </w:r>
          </w:p>
        </w:tc>
        <w:tc>
          <w:tcPr/>
          <w:p>
            <w:pPr>
              <w:pStyle w:val="Compact"/>
              <w:jc w:val="left"/>
            </w:pPr>
            <w:r>
              <w:t xml:space="preserve">$50M+</w:t>
            </w:r>
          </w:p>
        </w:tc>
        <w:tc>
          <w:tcPr/>
          <w:p>
            <w:pPr>
              <w:pStyle w:val="Compact"/>
              <w:jc w:val="left"/>
            </w:pPr>
            <w:r>
              <w:t xml:space="preserve">Cumulative</w:t>
            </w:r>
          </w:p>
        </w:tc>
      </w:tr>
      <w:tr>
        <w:tc>
          <w:tcPr/>
          <w:p>
            <w:pPr>
              <w:pStyle w:val="Compact"/>
              <w:jc w:val="left"/>
            </w:pPr>
            <w:r>
              <w:t xml:space="preserve">Strategic corporate investments</w:t>
            </w:r>
          </w:p>
        </w:tc>
        <w:tc>
          <w:tcPr/>
          <w:p>
            <w:pPr>
              <w:pStyle w:val="Compact"/>
              <w:jc w:val="left"/>
            </w:pPr>
            <w:r>
              <w:t xml:space="preserve">$100M+</w:t>
            </w:r>
          </w:p>
        </w:tc>
        <w:tc>
          <w:tcPr/>
          <w:p>
            <w:pPr>
              <w:pStyle w:val="Compact"/>
              <w:jc w:val="left"/>
            </w:pPr>
            <w:r>
              <w:t xml:space="preserve">Cumulative</w:t>
            </w:r>
          </w:p>
        </w:tc>
      </w:tr>
      <w:tr>
        <w:tc>
          <w:tcPr/>
          <w:p>
            <w:pPr>
              <w:pStyle w:val="Compact"/>
              <w:jc w:val="left"/>
            </w:pPr>
            <w:r>
              <w:rPr>
                <w:bCs/>
                <w:b/>
              </w:rPr>
              <w:t xml:space="preserve">Total tracked capital</w:t>
            </w:r>
          </w:p>
        </w:tc>
        <w:tc>
          <w:tcPr/>
          <w:p>
            <w:pPr>
              <w:pStyle w:val="Compact"/>
              <w:jc w:val="left"/>
            </w:pPr>
            <w:r>
              <w:rPr>
                <w:bCs/>
                <w:b/>
              </w:rPr>
              <w:t xml:space="preserve">$850M+</w:t>
            </w:r>
          </w:p>
        </w:tc>
        <w:tc>
          <w:tcPr/>
          <w:p>
            <w:pPr>
              <w:pStyle w:val="Compact"/>
              <w:jc w:val="left"/>
            </w:pPr>
            <w:r>
              <w:t xml:space="preserve">2018–2025</w:t>
            </w:r>
          </w:p>
        </w:tc>
      </w:tr>
    </w:tbl>
    <w:p>
      <w:pPr>
        <w:numPr>
          <w:ilvl w:val="0"/>
          <w:numId w:val="1034"/>
        </w:numPr>
        <w:pStyle w:val="Compact"/>
      </w:pPr>
      <w:r>
        <w:t xml:space="preserve">Global Bitcoin ecosystem funding reached $2.77B across 59 rounds in 2025, averaging $46.9M per deal</w:t>
      </w:r>
      <w:r>
        <w:t xml:space="preserve"> </w:t>
      </w:r>
      <w:r>
        <w:rPr>
          <w:vertAlign w:val="superscript"/>
        </w:rPr>
        <w:footnoteReference w:id="115"/>
      </w:r>
      <w:r>
        <w:t xml:space="preserve">.</w:t>
      </w:r>
    </w:p>
    <w:p>
      <w:pPr>
        <w:numPr>
          <w:ilvl w:val="0"/>
          <w:numId w:val="1034"/>
        </w:numPr>
        <w:pStyle w:val="Compact"/>
      </w:pPr>
      <w:r>
        <w:t xml:space="preserve">The Bitcoin-specific VC category declined 54.3% YoY in 2025 ($722.1M vs. $1.58B), suggesting capital is shifting toward general crypto infrastructure rather than Bitcoin-native rounds</w:t>
      </w:r>
      <w:r>
        <w:t xml:space="preserve"> </w:t>
      </w:r>
      <w:fldSimple w:instr="NOTEREF _Ref_Footnote_115 \h \f">
        <w:r>
          <w:rPr>
            <w:vertAlign w:val="superscript"/>
          </w:rPr>
          <w:t>115</w:t>
        </w:r>
      </w:fldSimple>
      <w:r>
        <w:t xml:space="preserve">.</w:t>
      </w:r>
    </w:p>
    <w:p>
      <w:pPr>
        <w:numPr>
          <w:ilvl w:val="0"/>
          <w:numId w:val="1034"/>
        </w:numPr>
        <w:pStyle w:val="Compact"/>
      </w:pPr>
      <w:r>
        <w:t xml:space="preserve">Seed rounds globally contracted 41.8% in 2025, tightening early-stage availability</w:t>
      </w:r>
      <w:r>
        <w:t xml:space="preserve"> </w:t>
      </w:r>
      <w:fldSimple w:instr="NOTEREF _Ref_Footnote_115 \h \f">
        <w:r>
          <w:rPr>
            <w:vertAlign w:val="superscript"/>
          </w:rPr>
          <w:t>115</w:t>
        </w:r>
      </w:fldSimple>
      <w:r>
        <w:t xml:space="preserve">.</w:t>
      </w:r>
    </w:p>
    <w:p>
      <w:r>
        <w:pict>
          <v:rect style="width:0;height:1.5pt" o:hralign="center" o:hrstd="t" o:hr="t"/>
        </w:pict>
      </w:r>
    </w:p>
    <w:bookmarkEnd w:id="82"/>
    <w:bookmarkEnd w:id="83"/>
    <w:bookmarkStart w:id="86" w:name="grant-open-source-funding"/>
    <w:p>
      <w:pPr>
        <w:pStyle w:val="Heading2"/>
      </w:pPr>
      <w:r>
        <w:t xml:space="preserve">4.2 Grant &amp; Open-Source Funding</w:t>
      </w:r>
    </w:p>
    <w:bookmarkStart w:id="84" w:name="X20229c846ab6b6d2f975bfd54e0c7fa93f3dcbb"/>
    <w:p>
      <w:pPr>
        <w:pStyle w:val="Heading3"/>
      </w:pPr>
      <w:r>
        <w:t xml:space="preserve">4.2.1 Major Grant Programs — European Bitcoin Infrastructure</w:t>
      </w:r>
    </w:p>
    <w:tbl>
      <w:tblPr>
        <w:tblStyle w:val="Table"/>
        <w:tblW w:type="pct" w:w="5000"/>
        <w:tblLook w:firstRow="1" w:lastRow="0" w:firstColumn="0" w:lastColumn="0" w:noHBand="0" w:noVBand="0" w:val="0020"/>
      </w:tblPr>
      <w:tblGrid>
        <w:gridCol w:w="1745"/>
        <w:gridCol w:w="2550"/>
        <w:gridCol w:w="2013"/>
        <w:gridCol w:w="1610"/>
      </w:tblGrid>
      <w:tr>
        <w:trPr>
          <w:tblHeader w:val="true"/>
        </w:trPr>
        <w:tc>
          <w:tcPr/>
          <w:p>
            <w:pPr>
              <w:pStyle w:val="Compact"/>
              <w:jc w:val="left"/>
            </w:pPr>
            <w:r>
              <w:t xml:space="preserve">Organization</w:t>
            </w:r>
          </w:p>
        </w:tc>
        <w:tc>
          <w:tcPr/>
          <w:p>
            <w:pPr>
              <w:pStyle w:val="Compact"/>
              <w:jc w:val="left"/>
            </w:pPr>
            <w:r>
              <w:t xml:space="preserve">Annual Deployment</w:t>
            </w:r>
          </w:p>
        </w:tc>
        <w:tc>
          <w:tcPr/>
          <w:p>
            <w:pPr>
              <w:pStyle w:val="Compact"/>
              <w:jc w:val="left"/>
            </w:pPr>
            <w:r>
              <w:t xml:space="preserve">Total to Date</w:t>
            </w:r>
          </w:p>
        </w:tc>
        <w:tc>
          <w:tcPr/>
          <w:p>
            <w:pPr>
              <w:pStyle w:val="Compact"/>
              <w:jc w:val="left"/>
            </w:pPr>
            <w:r>
              <w:t xml:space="preserve">Focus Area</w:t>
            </w:r>
          </w:p>
        </w:tc>
      </w:tr>
      <w:tr>
        <w:tc>
          <w:tcPr/>
          <w:p>
            <w:pPr>
              <w:pStyle w:val="Compact"/>
              <w:jc w:val="left"/>
            </w:pPr>
            <w:r>
              <w:t xml:space="preserve">OpenSats</w:t>
            </w:r>
          </w:p>
        </w:tc>
        <w:tc>
          <w:tcPr/>
          <w:p>
            <w:pPr>
              <w:pStyle w:val="Compact"/>
              <w:jc w:val="left"/>
            </w:pPr>
            <w:r>
              <w:t xml:space="preserve">~$1M/month ($12M+/yr)</w:t>
            </w:r>
            <w:r>
              <w:t xml:space="preserve"> </w:t>
            </w:r>
            <w:r>
              <w:rPr>
                <w:vertAlign w:val="superscript"/>
              </w:rPr>
              <w:footnoteReference w:id="116"/>
            </w:r>
          </w:p>
        </w:tc>
        <w:tc>
          <w:tcPr/>
          <w:p>
            <w:pPr>
              <w:pStyle w:val="Compact"/>
              <w:jc w:val="left"/>
            </w:pPr>
            <w:r>
              <w:t xml:space="preserve">300+ grants</w:t>
            </w:r>
          </w:p>
        </w:tc>
        <w:tc>
          <w:tcPr/>
          <w:p>
            <w:pPr>
              <w:pStyle w:val="Compact"/>
              <w:jc w:val="left"/>
            </w:pPr>
            <w:r>
              <w:t xml:space="preserve">Bitcoin Core, freedom tech, BTCPay Server</w:t>
            </w:r>
          </w:p>
        </w:tc>
      </w:tr>
      <w:tr>
        <w:tc>
          <w:tcPr/>
          <w:p>
            <w:pPr>
              <w:pStyle w:val="Compact"/>
              <w:jc w:val="left"/>
            </w:pPr>
            <w:r>
              <w:t xml:space="preserve">Human Rights Foundation</w:t>
            </w:r>
          </w:p>
        </w:tc>
        <w:tc>
          <w:tcPr/>
          <w:p>
            <w:pPr>
              <w:pStyle w:val="Compact"/>
              <w:jc w:val="left"/>
            </w:pPr>
            <w:r>
              <w:t xml:space="preserve">~$900K/yr</w:t>
            </w:r>
            <w:r>
              <w:t xml:space="preserve"> </w:t>
            </w:r>
            <w:r>
              <w:rPr>
                <w:vertAlign w:val="superscript"/>
              </w:rPr>
              <w:footnoteReference w:id="117"/>
            </w:r>
          </w:p>
        </w:tc>
        <w:tc>
          <w:tcPr/>
          <w:p>
            <w:pPr>
              <w:pStyle w:val="Compact"/>
              <w:jc w:val="left"/>
            </w:pPr>
            <w:r>
              <w:t xml:space="preserve">$1.8M+ (2 years)</w:t>
            </w:r>
          </w:p>
        </w:tc>
        <w:tc>
          <w:tcPr/>
          <w:p>
            <w:pPr>
              <w:pStyle w:val="Compact"/>
              <w:jc w:val="left"/>
            </w:pPr>
            <w:r>
              <w:t xml:space="preserve">Global devs, BTCPay, SeedSigner, ecash</w:t>
            </w:r>
          </w:p>
        </w:tc>
      </w:tr>
      <w:tr>
        <w:tc>
          <w:tcPr/>
          <w:p>
            <w:pPr>
              <w:pStyle w:val="Compact"/>
              <w:jc w:val="left"/>
            </w:pPr>
            <w:r>
              <w:t xml:space="preserve">Spiral (Block/Square)</w:t>
            </w:r>
          </w:p>
        </w:tc>
        <w:tc>
          <w:tcPr/>
          <w:p>
            <w:pPr>
              <w:pStyle w:val="Compact"/>
              <w:jc w:val="left"/>
            </w:pPr>
            <w:r>
              <w:t xml:space="preserve">Hundreds of millions</w:t>
            </w:r>
            <w:r>
              <w:t xml:space="preserve"> </w:t>
            </w:r>
            <w:r>
              <w:rPr>
                <w:vertAlign w:val="superscript"/>
              </w:rPr>
              <w:footnoteReference w:id="118"/>
            </w:r>
          </w:p>
        </w:tc>
        <w:tc>
          <w:tcPr/>
          <w:p>
            <w:pPr>
              <w:pStyle w:val="Compact"/>
              <w:jc w:val="left"/>
            </w:pPr>
            <w:r>
              <w:t xml:space="preserve">100+ projects</w:t>
            </w:r>
          </w:p>
        </w:tc>
        <w:tc>
          <w:tcPr/>
          <w:p>
            <w:pPr>
              <w:pStyle w:val="Compact"/>
              <w:jc w:val="left"/>
            </w:pPr>
            <w:r>
              <w:t xml:space="preserve">Lightning Network, BDK, LDK, UX</w:t>
            </w:r>
          </w:p>
        </w:tc>
      </w:tr>
      <w:tr>
        <w:tc>
          <w:tcPr/>
          <w:p>
            <w:pPr>
              <w:pStyle w:val="Compact"/>
              <w:jc w:val="left"/>
            </w:pPr>
            <w:r>
              <w:t xml:space="preserve">Brink</w:t>
            </w:r>
          </w:p>
        </w:tc>
        <w:tc>
          <w:tcPr/>
          <w:p>
            <w:pPr>
              <w:pStyle w:val="Compact"/>
              <w:jc w:val="left"/>
            </w:pPr>
            <w:r>
              <w:t xml:space="preserve">$1M+ donated/yr</w:t>
            </w:r>
            <w:r>
              <w:t xml:space="preserve"> </w:t>
            </w:r>
            <w:r>
              <w:rPr>
                <w:vertAlign w:val="superscript"/>
              </w:rPr>
              <w:footnoteReference w:id="119"/>
            </w:r>
          </w:p>
        </w:tc>
        <w:tc>
          <w:tcPr/>
          <w:p>
            <w:pPr>
              <w:pStyle w:val="Compact"/>
              <w:jc w:val="left"/>
            </w:pPr>
            <w:r>
              <w:t xml:space="preserve">$2.4M received (2023)</w:t>
            </w:r>
          </w:p>
        </w:tc>
        <w:tc>
          <w:tcPr/>
          <w:p>
            <w:pPr>
              <w:pStyle w:val="Compact"/>
              <w:jc w:val="left"/>
            </w:pPr>
            <w:r>
              <w:t xml:space="preserve">Bitcoin Core fellowships, grants</w:t>
            </w:r>
          </w:p>
        </w:tc>
      </w:tr>
    </w:tbl>
    <w:p>
      <w:pPr>
        <w:numPr>
          <w:ilvl w:val="0"/>
          <w:numId w:val="1035"/>
        </w:numPr>
        <w:pStyle w:val="Compact"/>
      </w:pPr>
      <w:r>
        <w:t xml:space="preserve">OpenSats distributes $1M+ monthly to hundreds of grantees across 40+ countries, with 100% of funds flowing directly to recipients</w:t>
      </w:r>
      <w:r>
        <w:t xml:space="preserve"> </w:t>
      </w:r>
      <w:fldSimple w:instr="NOTEREF _Ref_Footnote_116 \h \f">
        <w:r>
          <w:rPr>
            <w:vertAlign w:val="superscript"/>
          </w:rPr>
          <w:t>116</w:t>
        </w:r>
      </w:fldSimple>
      <w:r>
        <w:t xml:space="preserve">.</w:t>
      </w:r>
    </w:p>
    <w:p>
      <w:pPr>
        <w:numPr>
          <w:ilvl w:val="0"/>
          <w:numId w:val="1035"/>
        </w:numPr>
        <w:pStyle w:val="Compact"/>
      </w:pPr>
      <w:r>
        <w:t xml:space="preserve">HRF has allocated $1.8M+ in BTC and USD to 60+ developers and open-source initiatives; later rounds reached $455,000 and 1 billion satoshis per tranche</w:t>
      </w:r>
      <w:r>
        <w:t xml:space="preserve"> </w:t>
      </w:r>
      <w:fldSimple w:instr="NOTEREF _Ref_Footnote_117 \h \f">
        <w:r>
          <w:rPr>
            <w:vertAlign w:val="superscript"/>
          </w:rPr>
          <w:t>117</w:t>
        </w:r>
      </w:fldSimple>
      <w:r>
        <w:t xml:space="preserve">.</w:t>
      </w:r>
    </w:p>
    <w:p>
      <w:pPr>
        <w:numPr>
          <w:ilvl w:val="0"/>
          <w:numId w:val="1035"/>
        </w:numPr>
        <w:pStyle w:val="Compact"/>
      </w:pPr>
      <w:r>
        <w:t xml:space="preserve">Spiral (established 2019) has deployed hundreds of millions into Bitcoin privacy, security, scalability, and UX improvements</w:t>
      </w:r>
      <w:r>
        <w:t xml:space="preserve"> </w:t>
      </w:r>
      <w:fldSimple w:instr="NOTEREF _Ref_Footnote_118 \h \f">
        <w:r>
          <w:rPr>
            <w:vertAlign w:val="superscript"/>
          </w:rPr>
          <w:t>118</w:t>
        </w:r>
      </w:fldSimple>
      <w:r>
        <w:t xml:space="preserve">.</w:t>
      </w:r>
    </w:p>
    <w:p>
      <w:pPr>
        <w:numPr>
          <w:ilvl w:val="0"/>
          <w:numId w:val="1035"/>
        </w:numPr>
        <w:pStyle w:val="Compact"/>
      </w:pPr>
      <w:r>
        <w:t xml:space="preserve">Brink (London-based, founded 2020) received $2.4M in donations from 500+ contributors in 2023, with Jack Dorsey’s StartSmall as a major donor</w:t>
      </w:r>
      <w:r>
        <w:t xml:space="preserve"> </w:t>
      </w:r>
      <w:fldSimple w:instr="NOTEREF _Ref_Footnote_119 \h \f">
        <w:r>
          <w:rPr>
            <w:vertAlign w:val="superscript"/>
          </w:rPr>
          <w:t>119</w:t>
        </w:r>
      </w:fldSimple>
      <w:r>
        <w:t xml:space="preserve">.</w:t>
      </w:r>
    </w:p>
    <w:bookmarkEnd w:id="84"/>
    <w:bookmarkStart w:id="85" w:name="X9e89018129fd399a9fa983de742c60bc436846f"/>
    <w:p>
      <w:pPr>
        <w:pStyle w:val="Heading3"/>
      </w:pPr>
      <w:r>
        <w:t xml:space="preserve">4.2.2 Corporate Grant Flows to European Projects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Donor</w:t>
            </w:r>
          </w:p>
        </w:tc>
        <w:tc>
          <w:tcPr/>
          <w:p>
            <w:pPr>
              <w:pStyle w:val="Compact"/>
              <w:jc w:val="left"/>
            </w:pPr>
            <w:r>
              <w:t xml:space="preserve">Recipient</w:t>
            </w:r>
          </w:p>
        </w:tc>
        <w:tc>
          <w:tcPr/>
          <w:p>
            <w:pPr>
              <w:pStyle w:val="Compact"/>
              <w:jc w:val="left"/>
            </w:pPr>
            <w:r>
              <w:t xml:space="preserve">Amount</w:t>
            </w:r>
          </w:p>
        </w:tc>
        <w:tc>
          <w:tcPr/>
          <w:p>
            <w:pPr>
              <w:pStyle w:val="Compact"/>
              <w:jc w:val="left"/>
            </w:pPr>
            <w:r>
              <w:t xml:space="preserve">Date</w:t>
            </w:r>
          </w:p>
        </w:tc>
      </w:tr>
      <w:tr>
        <w:tc>
          <w:tcPr/>
          <w:p>
            <w:pPr>
              <w:pStyle w:val="Compact"/>
              <w:jc w:val="left"/>
            </w:pPr>
            <w:r>
              <w:t xml:space="preserve">Kraken</w:t>
            </w:r>
          </w:p>
        </w:tc>
        <w:tc>
          <w:tcPr/>
          <w:p>
            <w:pPr>
              <w:pStyle w:val="Compact"/>
              <w:jc w:val="left"/>
            </w:pPr>
            <w:r>
              <w:t xml:space="preserve">BTCPay Server</w:t>
            </w:r>
          </w:p>
        </w:tc>
        <w:tc>
          <w:tcPr/>
          <w:p>
            <w:pPr>
              <w:pStyle w:val="Compact"/>
              <w:jc w:val="left"/>
            </w:pPr>
            <w:r>
              <w:t xml:space="preserve">$150K</w:t>
            </w:r>
            <w:r>
              <w:t xml:space="preserve"> </w:t>
            </w:r>
            <w:r>
              <w:rPr>
                <w:vertAlign w:val="superscript"/>
              </w:rPr>
              <w:footnoteReference w:id="120"/>
            </w:r>
          </w:p>
        </w:tc>
        <w:tc>
          <w:tcPr/>
          <w:p>
            <w:pPr>
              <w:pStyle w:val="Compact"/>
              <w:jc w:val="left"/>
            </w:pPr>
            <w:r>
              <w:t xml:space="preserve">Jun 2020</w:t>
            </w:r>
          </w:p>
        </w:tc>
      </w:tr>
      <w:tr>
        <w:tc>
          <w:tcPr/>
          <w:p>
            <w:pPr>
              <w:pStyle w:val="Compact"/>
              <w:jc w:val="left"/>
            </w:pPr>
            <w:r>
              <w:t xml:space="preserve">Square Crypto</w:t>
            </w:r>
          </w:p>
        </w:tc>
        <w:tc>
          <w:tcPr/>
          <w:p>
            <w:pPr>
              <w:pStyle w:val="Compact"/>
              <w:jc w:val="left"/>
            </w:pPr>
            <w:r>
              <w:t xml:space="preserve">BTCPay Server</w:t>
            </w:r>
          </w:p>
        </w:tc>
        <w:tc>
          <w:tcPr/>
          <w:p>
            <w:pPr>
              <w:pStyle w:val="Compact"/>
              <w:jc w:val="left"/>
            </w:pPr>
            <w:r>
              <w:t xml:space="preserve">$100K</w:t>
            </w:r>
            <w:r>
              <w:t xml:space="preserve"> </w:t>
            </w:r>
            <w:fldSimple w:instr="NOTEREF _Ref_Footnote_120 \h \f">
              <w:r>
                <w:rPr>
                  <w:vertAlign w:val="superscript"/>
                </w:rPr>
                <w:t>120</w:t>
              </w:r>
            </w:fldSimple>
          </w:p>
        </w:tc>
        <w:tc>
          <w:tcPr/>
          <w:p>
            <w:pPr>
              <w:pStyle w:val="Compact"/>
              <w:jc w:val="left"/>
            </w:pPr>
            <w:r>
              <w:t xml:space="preserve">2019</w:t>
            </w:r>
          </w:p>
        </w:tc>
      </w:tr>
      <w:tr>
        <w:tc>
          <w:tcPr/>
          <w:p>
            <w:pPr>
              <w:pStyle w:val="Compact"/>
              <w:jc w:val="left"/>
            </w:pPr>
            <w:r>
              <w:t xml:space="preserve">OKCoin</w:t>
            </w:r>
          </w:p>
        </w:tc>
        <w:tc>
          <w:tcPr/>
          <w:p>
            <w:pPr>
              <w:pStyle w:val="Compact"/>
              <w:jc w:val="left"/>
            </w:pPr>
            <w:r>
              <w:t xml:space="preserve">BTCPay Server</w:t>
            </w:r>
          </w:p>
        </w:tc>
        <w:tc>
          <w:tcPr/>
          <w:p>
            <w:pPr>
              <w:pStyle w:val="Compact"/>
              <w:jc w:val="left"/>
            </w:pPr>
            <w:r>
              <w:t xml:space="preserve">$100K</w:t>
            </w:r>
          </w:p>
        </w:tc>
        <w:tc>
          <w:tcPr/>
          <w:p>
            <w:pPr>
              <w:pStyle w:val="Compact"/>
              <w:jc w:val="left"/>
            </w:pPr>
            <w:r>
              <w:t xml:space="preserve">May 2020</w:t>
            </w:r>
          </w:p>
        </w:tc>
      </w:tr>
      <w:tr>
        <w:tc>
          <w:tcPr/>
          <w:p>
            <w:pPr>
              <w:pStyle w:val="Compact"/>
              <w:jc w:val="left"/>
            </w:pPr>
            <w:r>
              <w:t xml:space="preserve">Tether</w:t>
            </w:r>
          </w:p>
        </w:tc>
        <w:tc>
          <w:tcPr/>
          <w:p>
            <w:pPr>
              <w:pStyle w:val="Compact"/>
              <w:jc w:val="left"/>
            </w:pPr>
            <w:r>
              <w:t xml:space="preserve">OpenSats</w:t>
            </w:r>
          </w:p>
        </w:tc>
        <w:tc>
          <w:tcPr/>
          <w:p>
            <w:pPr>
              <w:pStyle w:val="Compact"/>
              <w:jc w:val="left"/>
            </w:pPr>
            <w:r>
              <w:t xml:space="preserve">$250K</w:t>
            </w:r>
            <w:r>
              <w:t xml:space="preserve"> </w:t>
            </w:r>
            <w:fldSimple w:instr="NOTEREF _Ref_Footnote_117 \h \f">
              <w:r>
                <w:rPr>
                  <w:vertAlign w:val="superscript"/>
                </w:rPr>
                <w:t>117</w:t>
              </w:r>
            </w:fldSimple>
          </w:p>
        </w:tc>
        <w:tc>
          <w:tcPr/>
          <w:p>
            <w:pPr>
              <w:pStyle w:val="Compact"/>
              <w:jc w:val="left"/>
            </w:pPr>
            <w:r>
              <w:t xml:space="preserve">Oct 2025</w:t>
            </w:r>
          </w:p>
        </w:tc>
      </w:tr>
    </w:tbl>
    <w:p>
      <w:pPr>
        <w:numPr>
          <w:ilvl w:val="0"/>
          <w:numId w:val="1036"/>
        </w:numPr>
        <w:pStyle w:val="Compact"/>
      </w:pPr>
      <w:r>
        <w:t xml:space="preserve">BTCPay Server received its largest single donation ($150K) from Kraken in 2020; the project sustains entirely on grants with no built-in revenue model</w:t>
      </w:r>
      <w:r>
        <w:t xml:space="preserve"> </w:t>
      </w:r>
      <w:fldSimple w:instr="NOTEREF _Ref_Footnote_120 \h \f">
        <w:r>
          <w:rPr>
            <w:vertAlign w:val="superscript"/>
          </w:rPr>
          <w:t>120</w:t>
        </w:r>
      </w:fldSimple>
      <w:r>
        <w:t xml:space="preserve">.</w:t>
      </w:r>
    </w:p>
    <w:p>
      <w:pPr>
        <w:numPr>
          <w:ilvl w:val="0"/>
          <w:numId w:val="1036"/>
        </w:numPr>
        <w:pStyle w:val="Compact"/>
      </w:pPr>
      <w:r>
        <w:t xml:space="preserve">European grantees such as BTCPay Server and Bitcoin Core contributors represent a disproportionate share of global open-source Bitcoin infrastructure funding.</w:t>
      </w:r>
    </w:p>
    <w:p>
      <w:r>
        <w:pict>
          <v:rect style="width:0;height:1.5pt" o:hralign="center" o:hrstd="t" o:hr="t"/>
        </w:pict>
      </w:r>
    </w:p>
    <w:bookmarkEnd w:id="85"/>
    <w:bookmarkEnd w:id="86"/>
    <w:bookmarkStart w:id="89" w:name="revenue-leaders"/>
    <w:p>
      <w:pPr>
        <w:pStyle w:val="Heading2"/>
      </w:pPr>
      <w:r>
        <w:t xml:space="preserve">4.3 Revenue Leaders</w:t>
      </w:r>
    </w:p>
    <w:bookmarkStart w:id="87" w:name="X0e62e361eef6fcd6397fbd7ee413f8f57b566ff"/>
    <w:p>
      <w:pPr>
        <w:pStyle w:val="Heading3"/>
      </w:pPr>
      <w:r>
        <w:t xml:space="preserve">4.3.1 Revenue Leaderboard — European Bitcoin-Native Companies</w:t>
      </w:r>
    </w:p>
    <w:tbl>
      <w:tblPr>
        <w:tblStyle w:val="Table"/>
        <w:tblW w:type="pct" w:w="5000"/>
        <w:tblLook w:firstRow="1" w:lastRow="0" w:firstColumn="0" w:lastColumn="0" w:noHBand="0" w:noVBand="0" w:val="0020"/>
      </w:tblPr>
      <w:tblGrid>
        <w:gridCol w:w="586"/>
        <w:gridCol w:w="880"/>
        <w:gridCol w:w="1271"/>
        <w:gridCol w:w="2542"/>
        <w:gridCol w:w="1466"/>
        <w:gridCol w:w="1173"/>
      </w:tblGrid>
      <w:tr>
        <w:trPr>
          <w:tblHeader w:val="true"/>
        </w:trPr>
        <w:tc>
          <w:tcPr/>
          <w:p>
            <w:pPr>
              <w:pStyle w:val="Compact"/>
              <w:jc w:val="left"/>
            </w:pPr>
            <w:r>
              <w:t xml:space="preserve">Rank</w:t>
            </w:r>
          </w:p>
        </w:tc>
        <w:tc>
          <w:tcPr/>
          <w:p>
            <w:pPr>
              <w:pStyle w:val="Compact"/>
              <w:jc w:val="left"/>
            </w:pPr>
            <w:r>
              <w:t xml:space="preserve">Company</w:t>
            </w:r>
          </w:p>
        </w:tc>
        <w:tc>
          <w:tcPr/>
          <w:p>
            <w:pPr>
              <w:pStyle w:val="Compact"/>
              <w:jc w:val="left"/>
            </w:pPr>
            <w:r>
              <w:t xml:space="preserve">2024 Revenue</w:t>
            </w:r>
          </w:p>
        </w:tc>
        <w:tc>
          <w:tcPr/>
          <w:p>
            <w:pPr>
              <w:pStyle w:val="Compact"/>
              <w:jc w:val="left"/>
            </w:pPr>
            <w:r>
              <w:t xml:space="preserve">2025 Revenue / Projection</w:t>
            </w:r>
          </w:p>
        </w:tc>
        <w:tc>
          <w:tcPr/>
          <w:p>
            <w:pPr>
              <w:pStyle w:val="Compact"/>
              <w:jc w:val="left"/>
            </w:pPr>
            <w:r>
              <w:t xml:space="preserve">Growth Signal</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Ledger</w:t>
            </w:r>
          </w:p>
        </w:tc>
        <w:tc>
          <w:tcPr/>
          <w:p>
            <w:pPr>
              <w:pStyle w:val="Compact"/>
              <w:jc w:val="left"/>
            </w:pPr>
            <w:r>
              <w:t xml:space="preserve">$70.9M</w:t>
            </w:r>
            <w:r>
              <w:t xml:space="preserve"> </w:t>
            </w:r>
            <w:fldSimple w:instr="NOTEREF _Ref_Footnote_102 \h \f">
              <w:r>
                <w:rPr>
                  <w:vertAlign w:val="superscript"/>
                </w:rPr>
                <w:t>102</w:t>
              </w:r>
            </w:fldSimple>
          </w:p>
        </w:tc>
        <w:tc>
          <w:tcPr/>
          <w:p>
            <w:pPr>
              <w:pStyle w:val="Compact"/>
              <w:jc w:val="left"/>
            </w:pPr>
            <w:r>
              <w:t xml:space="preserve">$100M+ (nine figures); $150–200M projected</w:t>
            </w:r>
          </w:p>
        </w:tc>
        <w:tc>
          <w:tcPr/>
          <w:p>
            <w:pPr>
              <w:pStyle w:val="Compact"/>
              <w:jc w:val="left"/>
            </w:pPr>
            <w:r>
              <w:t xml:space="preserve">93% YoY ($36.7M → $70.9M)</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Trezor</w:t>
            </w:r>
          </w:p>
        </w:tc>
        <w:tc>
          <w:tcPr/>
          <w:p>
            <w:pPr>
              <w:pStyle w:val="Compact"/>
              <w:jc w:val="left"/>
            </w:pPr>
            <w:r>
              <w:t xml:space="preserve">—</w:t>
            </w:r>
          </w:p>
        </w:tc>
        <w:tc>
          <w:tcPr/>
          <w:p>
            <w:pPr>
              <w:pStyle w:val="Compact"/>
              <w:jc w:val="left"/>
            </w:pPr>
            <w:r>
              <w:t xml:space="preserve">$47.2M</w:t>
            </w:r>
            <w:r>
              <w:t xml:space="preserve"> </w:t>
            </w:r>
            <w:r>
              <w:rPr>
                <w:vertAlign w:val="superscript"/>
              </w:rPr>
              <w:footnoteReference w:id="121"/>
            </w:r>
          </w:p>
        </w:tc>
        <w:tc>
          <w:tcPr/>
          <w:p>
            <w:pPr>
              <w:pStyle w:val="Compact"/>
              <w:jc w:val="left"/>
            </w:pPr>
            <w:r>
              <w:t xml:space="preserve">600% sales surge during Nov 2024 BTC rally</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Bitstack</w:t>
            </w:r>
          </w:p>
        </w:tc>
        <w:tc>
          <w:tcPr/>
          <w:p>
            <w:pPr>
              <w:pStyle w:val="Compact"/>
              <w:jc w:val="left"/>
            </w:pPr>
            <w:r>
              <w:t xml:space="preserve">Undisclosed</w:t>
            </w:r>
          </w:p>
        </w:tc>
        <w:tc>
          <w:tcPr/>
          <w:p>
            <w:pPr>
              <w:pStyle w:val="Compact"/>
              <w:jc w:val="left"/>
            </w:pPr>
            <w:r>
              <w:t xml:space="preserve">Undisclosed</w:t>
            </w:r>
          </w:p>
        </w:tc>
        <w:tc>
          <w:tcPr/>
          <w:p>
            <w:pPr>
              <w:pStyle w:val="Compact"/>
              <w:jc w:val="left"/>
            </w:pPr>
            <w:r>
              <w:t xml:space="preserve">10× revenue in 2 years</w:t>
            </w:r>
            <w:r>
              <w:t xml:space="preserve"> </w:t>
            </w:r>
            <w:fldSimple w:instr="NOTEREF _Ref_Footnote_104 \h \f">
              <w:r>
                <w:rPr>
                  <w:vertAlign w:val="superscript"/>
                </w:rPr>
                <w:t>104</w:t>
              </w:r>
            </w:fldSimple>
          </w:p>
        </w:tc>
        <w:tc>
          <w:tcPr/>
          <w:p>
            <w:pPr>
              <w:pStyle w:val="Compact"/>
              <w:jc w:val="left"/>
            </w:pPr>
            <w:r>
              <w:t xml:space="preserve">High (company-claimed)</w:t>
            </w:r>
          </w:p>
        </w:tc>
      </w:tr>
      <w:tr>
        <w:tc>
          <w:tcPr/>
          <w:p>
            <w:pPr>
              <w:pStyle w:val="Compact"/>
              <w:jc w:val="left"/>
            </w:pPr>
            <w:r>
              <w:t xml:space="preserve">4</w:t>
            </w:r>
          </w:p>
        </w:tc>
        <w:tc>
          <w:tcPr/>
          <w:p>
            <w:pPr>
              <w:pStyle w:val="Compact"/>
              <w:jc w:val="left"/>
            </w:pPr>
            <w:r>
              <w:t xml:space="preserve">Relai</w:t>
            </w:r>
          </w:p>
        </w:tc>
        <w:tc>
          <w:tcPr/>
          <w:p>
            <w:pPr>
              <w:pStyle w:val="Compact"/>
              <w:jc w:val="left"/>
            </w:pPr>
            <w:r>
              <w:t xml:space="preserve">$3.1M (2024)</w:t>
            </w:r>
          </w:p>
        </w:tc>
        <w:tc>
          <w:tcPr/>
          <w:p>
            <w:pPr>
              <w:pStyle w:val="Compact"/>
              <w:jc w:val="left"/>
            </w:pPr>
            <w:r>
              <w:t xml:space="preserve">—</w:t>
            </w:r>
          </w:p>
        </w:tc>
        <w:tc>
          <w:tcPr/>
          <w:p>
            <w:pPr>
              <w:pStyle w:val="Compact"/>
              <w:jc w:val="left"/>
            </w:pPr>
            <w:r>
              <w:t xml:space="preserve">300% YoY growth; $1B+ cumulative volume</w:t>
            </w:r>
            <w:r>
              <w:t xml:space="preserve"> </w:t>
            </w:r>
            <w:fldSimple w:instr="NOTEREF _Ref_Footnote_103 \h \f">
              <w:r>
                <w:rPr>
                  <w:vertAlign w:val="superscript"/>
                </w:rPr>
                <w:t>103</w:t>
              </w:r>
            </w:fldSimple>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21bitcoin</w:t>
            </w:r>
          </w:p>
        </w:tc>
        <w:tc>
          <w:tcPr/>
          <w:p>
            <w:pPr>
              <w:pStyle w:val="Compact"/>
              <w:jc w:val="left"/>
            </w:pPr>
            <w:r>
              <w:t xml:space="preserve">~$941K</w:t>
            </w:r>
            <w:r>
              <w:t xml:space="preserve"> </w:t>
            </w:r>
            <w:fldSimple w:instr="NOTEREF _Ref_Footnote_110 \h \f">
              <w:r>
                <w:rPr>
                  <w:vertAlign w:val="superscript"/>
                </w:rPr>
                <w:t>110</w:t>
              </w:r>
            </w:fldSimple>
          </w:p>
        </w:tc>
        <w:tc>
          <w:tcPr/>
          <w:p>
            <w:pPr>
              <w:pStyle w:val="Compact"/>
              <w:jc w:val="left"/>
            </w:pPr>
            <w:r>
              <w:t xml:space="preserve">—</w:t>
            </w:r>
          </w:p>
        </w:tc>
        <w:tc>
          <w:tcPr/>
          <w:p>
            <w:pPr>
              <w:pStyle w:val="Compact"/>
              <w:jc w:val="left"/>
            </w:pPr>
            <w:r>
              <w:t xml:space="preserve">100K+ users</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BitBox</w:t>
            </w:r>
          </w:p>
        </w:tc>
        <w:tc>
          <w:tcPr/>
          <w:p>
            <w:pPr>
              <w:pStyle w:val="Compact"/>
              <w:jc w:val="left"/>
            </w:pPr>
            <w:r>
              <w:t xml:space="preserve">Undisclosed</w:t>
            </w:r>
          </w:p>
        </w:tc>
        <w:tc>
          <w:tcPr/>
          <w:p>
            <w:pPr>
              <w:pStyle w:val="Compact"/>
              <w:jc w:val="left"/>
            </w:pPr>
            <w:r>
              <w:t xml:space="preserve">—</w:t>
            </w:r>
          </w:p>
        </w:tc>
        <w:tc>
          <w:tcPr/>
          <w:p>
            <w:pPr>
              <w:pStyle w:val="Compact"/>
              <w:jc w:val="left"/>
            </w:pPr>
            <w:r>
              <w:t xml:space="preserve">Privately held; estimated $5–15M/yr</w:t>
            </w:r>
          </w:p>
        </w:tc>
        <w:tc>
          <w:tcPr/>
          <w:p>
            <w:pPr>
              <w:pStyle w:val="Compact"/>
              <w:jc w:val="left"/>
            </w:pPr>
            <w:r>
              <w:t xml:space="preserve">Low</w:t>
            </w:r>
          </w:p>
        </w:tc>
      </w:tr>
    </w:tbl>
    <w:bookmarkEnd w:id="87"/>
    <w:bookmarkStart w:id="88" w:name="revenue-leader-cards"/>
    <w:p>
      <w:pPr>
        <w:pStyle w:val="Heading3"/>
      </w:pPr>
      <w:r>
        <w:t xml:space="preserve">4.3.2 Revenue Leader Cards</w:t>
      </w:r>
    </w:p>
    <w:p>
      <w:pPr>
        <w:pStyle w:val="FirstParagraph"/>
      </w:pPr>
      <w:r>
        <w:rPr>
          <w:bCs/>
          <w:b/>
        </w:rPr>
        <w:t xml:space="preserve">Ledger (France)</w:t>
      </w:r>
      <w:r>
        <w:t xml:space="preserve"> </w:t>
      </w:r>
      <w:r>
        <w:t xml:space="preserve">— The Revenue Benchmark</w:t>
      </w:r>
      <w:r>
        <w:t xml:space="preserve"> </w:t>
      </w:r>
      <w:r>
        <w:t xml:space="preserve">- Revenue: $70.9M in 2024, up from $36.7M in 2023 — a 93% increase</w:t>
      </w:r>
      <w:r>
        <w:t xml:space="preserve"> </w:t>
      </w:r>
      <w:fldSimple w:instr="NOTEREF _Ref_Footnote_102 \h \f">
        <w:r>
          <w:rPr>
            <w:vertAlign w:val="superscript"/>
          </w:rPr>
          <w:t>102</w:t>
        </w:r>
      </w:fldSimple>
      <w:r>
        <w:t xml:space="preserve">.</w:t>
      </w:r>
      <w:r>
        <w:t xml:space="preserve"> </w:t>
      </w:r>
      <w:r>
        <w:t xml:space="preserve">- 2025 revenue hit nine figures (&gt;$100M), with 31% YoY sales growth.</w:t>
      </w:r>
      <w:r>
        <w:t xml:space="preserve"> </w:t>
      </w:r>
      <w:r>
        <w:t xml:space="preserve">- IPO planned at $4B+ valuation; Goldman Sachs, Jefferies, and Barclays advising</w:t>
      </w:r>
      <w:r>
        <w:t xml:space="preserve"> </w:t>
      </w:r>
      <w:r>
        <w:rPr>
          <w:vertAlign w:val="superscript"/>
        </w:rPr>
        <w:footnoteReference w:id="122"/>
      </w:r>
      <w:r>
        <w:t xml:space="preserve">.</w:t>
      </w:r>
      <w:r>
        <w:t xml:space="preserve"> </w:t>
      </w:r>
      <w:r>
        <w:t xml:space="preserve">- 7M+ devices sold globally; 7,800+ employees</w:t>
      </w:r>
      <w:r>
        <w:t xml:space="preserve"> </w:t>
      </w:r>
      <w:fldSimple w:instr="NOTEREF _Ref_Footnote_102 \h \f">
        <w:r>
          <w:rPr>
            <w:vertAlign w:val="superscript"/>
          </w:rPr>
          <w:t>102</w:t>
        </w:r>
      </w:fldSimple>
      <w:r>
        <w:t xml:space="preserve">.</w:t>
      </w:r>
    </w:p>
    <w:p>
      <w:pPr>
        <w:pStyle w:val="BodyText"/>
      </w:pPr>
      <w:r>
        <w:rPr>
          <w:bCs/>
          <w:b/>
        </w:rPr>
        <w:t xml:space="preserve">Trezor (Czech Republic)</w:t>
      </w:r>
      <w:r>
        <w:t xml:space="preserve"> </w:t>
      </w:r>
      <w:r>
        <w:t xml:space="preserve">— The Bootstrapped Alternative</w:t>
      </w:r>
      <w:r>
        <w:t xml:space="preserve"> </w:t>
      </w:r>
      <w:r>
        <w:t xml:space="preserve">- Revenue: $47.2M in 2025, up from effectively $52,500 in 2021 — 89,000%+ growth</w:t>
      </w:r>
      <w:r>
        <w:t xml:space="preserve"> </w:t>
      </w:r>
      <w:fldSimple w:instr="NOTEREF _Ref_Footnote_121 \h \f">
        <w:r>
          <w:rPr>
            <w:vertAlign w:val="superscript"/>
          </w:rPr>
          <w:t>121</w:t>
        </w:r>
      </w:fldSimple>
      <w:r>
        <w:t xml:space="preserve">.</w:t>
      </w:r>
      <w:r>
        <w:t xml:space="preserve"> </w:t>
      </w:r>
      <w:r>
        <w:t xml:space="preserve">- $106K raised (effectively bootstrapped); enterprise value estimated $100–300M.</w:t>
      </w:r>
      <w:r>
        <w:t xml:space="preserve"> </w:t>
      </w:r>
      <w:r>
        <w:t xml:space="preserve">- 600% weekly sales surge recorded during November 2024 as Bitcoin approached $100K</w:t>
      </w:r>
      <w:r>
        <w:t xml:space="preserve"> </w:t>
      </w:r>
      <w:fldSimple w:instr="NOTEREF _Ref_Footnote_121 \h \f">
        <w:r>
          <w:rPr>
            <w:vertAlign w:val="superscript"/>
          </w:rPr>
          <w:t>121</w:t>
        </w:r>
      </w:fldSimple>
      <w:r>
        <w:t xml:space="preserve">.</w:t>
      </w:r>
    </w:p>
    <w:p>
      <w:pPr>
        <w:pStyle w:val="BodyText"/>
      </w:pPr>
      <w:r>
        <w:rPr>
          <w:bCs/>
          <w:b/>
        </w:rPr>
        <w:t xml:space="preserve">Bitstack (France)</w:t>
      </w:r>
      <w:r>
        <w:t xml:space="preserve"> </w:t>
      </w:r>
      <w:r>
        <w:t xml:space="preserve">— The DCA Growth Story</w:t>
      </w:r>
      <w:r>
        <w:t xml:space="preserve"> </w:t>
      </w:r>
      <w:r>
        <w:t xml:space="preserve">- 300,000+ active users; €300M in Bitcoin savings facilitated</w:t>
      </w:r>
      <w:r>
        <w:t xml:space="preserve"> </w:t>
      </w:r>
      <w:fldSimple w:instr="NOTEREF _Ref_Footnote_104 \h \f">
        <w:r>
          <w:rPr>
            <w:vertAlign w:val="superscript"/>
          </w:rPr>
          <w:t>104</w:t>
        </w:r>
      </w:fldSimple>
      <w:r>
        <w:t xml:space="preserve">.</w:t>
      </w:r>
      <w:r>
        <w:t xml:space="preserve"> </w:t>
      </w:r>
      <w:r>
        <w:t xml:space="preserve">- Revenue increased 10× in 2 years; operating in 12 European countries.</w:t>
      </w:r>
      <w:r>
        <w:t xml:space="preserve"> </w:t>
      </w:r>
      <w:r>
        <w:t xml:space="preserve">- MiCA license approved June 2025; Europe’s first Bitcoin rewards card launched.</w:t>
      </w:r>
      <w:r>
        <w:t xml:space="preserve"> </w:t>
      </w:r>
      <w:r>
        <w:t xml:space="preserve">- Total raised: ~$22M across seed and Series A</w:t>
      </w:r>
      <w:r>
        <w:t xml:space="preserve"> </w:t>
      </w:r>
      <w:fldSimple w:instr="NOTEREF _Ref_Footnote_104 \h \f">
        <w:r>
          <w:rPr>
            <w:vertAlign w:val="superscript"/>
          </w:rPr>
          <w:t>104</w:t>
        </w:r>
      </w:fldSimple>
      <w:r>
        <w:t xml:space="preserve"> </w:t>
      </w:r>
      <w:fldSimple w:instr="NOTEREF _Ref_Footnote_105 \h \f">
        <w:r>
          <w:rPr>
            <w:vertAlign w:val="superscript"/>
          </w:rPr>
          <w:t>105</w:t>
        </w:r>
      </w:fldSimple>
      <w:r>
        <w:t xml:space="preserve"> </w:t>
      </w:r>
      <w:fldSimple w:instr="NOTEREF _Ref_Footnote_106 \h \f">
        <w:r>
          <w:rPr>
            <w:vertAlign w:val="superscript"/>
          </w:rPr>
          <w:t>106</w:t>
        </w:r>
      </w:fldSimple>
      <w:r>
        <w:t xml:space="preserve">.</w:t>
      </w:r>
    </w:p>
    <w:p>
      <w:pPr>
        <w:pStyle w:val="BodyText"/>
      </w:pPr>
      <w:r>
        <w:rPr>
          <w:bCs/>
          <w:b/>
        </w:rPr>
        <w:t xml:space="preserve">Relai (Switzerland)</w:t>
      </w:r>
      <w:r>
        <w:t xml:space="preserve"> </w:t>
      </w:r>
      <w:r>
        <w:t xml:space="preserve">— The Volume Play</w:t>
      </w:r>
      <w:r>
        <w:t xml:space="preserve"> </w:t>
      </w:r>
      <w:r>
        <w:t xml:space="preserve">- $3.1M generated revenue (2024 pitch deck data); 300% YoY growth</w:t>
      </w:r>
      <w:r>
        <w:t xml:space="preserve"> </w:t>
      </w:r>
      <w:fldSimple w:instr="NOTEREF _Ref_Footnote_44 \h \f">
        <w:r>
          <w:rPr>
            <w:vertAlign w:val="superscript"/>
          </w:rPr>
          <w:t>44</w:t>
        </w:r>
      </w:fldSimple>
      <w:r>
        <w:t xml:space="preserve">.</w:t>
      </w:r>
      <w:r>
        <w:t xml:space="preserve"> </w:t>
      </w:r>
      <w:r>
        <w:t xml:space="preserve">- 500,000+ app downloads; $1B+ total trading volume; 130,000+ active users</w:t>
      </w:r>
      <w:r>
        <w:t xml:space="preserve"> </w:t>
      </w:r>
      <w:fldSimple w:instr="NOTEREF _Ref_Footnote_103 \h \f">
        <w:r>
          <w:rPr>
            <w:vertAlign w:val="superscript"/>
          </w:rPr>
          <w:t>103</w:t>
        </w:r>
      </w:fldSimple>
      <w:r>
        <w:t xml:space="preserve">.</w:t>
      </w:r>
      <w:r>
        <w:t xml:space="preserve"> </w:t>
      </w:r>
      <w:r>
        <w:t xml:space="preserve">- Unit economics: $18 ARPU (monthly), $26 CAC, $120 CLV, 85% retention</w:t>
      </w:r>
      <w:r>
        <w:t xml:space="preserve"> </w:t>
      </w:r>
      <w:fldSimple w:instr="NOTEREF _Ref_Footnote_44 \h \f">
        <w:r>
          <w:rPr>
            <w:vertAlign w:val="superscript"/>
          </w:rPr>
          <w:t>44</w:t>
        </w:r>
      </w:fldSimple>
      <w:r>
        <w:t xml:space="preserve">.</w:t>
      </w:r>
      <w:r>
        <w:t xml:space="preserve"> </w:t>
      </w:r>
      <w:r>
        <w:t xml:space="preserve">- MiCA license secured in 2025; planning B2B2C API for 2026.</w:t>
      </w:r>
    </w:p>
    <w:p>
      <w:r>
        <w:pict>
          <v:rect style="width:0;height:1.5pt" o:hralign="center" o:hrstd="t" o:hr="t"/>
        </w:pict>
      </w:r>
    </w:p>
    <w:bookmarkEnd w:id="88"/>
    <w:bookmarkEnd w:id="89"/>
    <w:bookmarkStart w:id="94" w:name="most-profitable-business-models"/>
    <w:p>
      <w:pPr>
        <w:pStyle w:val="Heading2"/>
      </w:pPr>
      <w:r>
        <w:t xml:space="preserve">4.4 Most Profitable Business Models</w:t>
      </w:r>
    </w:p>
    <w:bookmarkStart w:id="90" w:name="business-model-profitability-ranking"/>
    <w:p>
      <w:pPr>
        <w:pStyle w:val="Heading3"/>
      </w:pPr>
      <w:r>
        <w:t xml:space="preserve">4.4.1 Business Model Profitability Ranking</w:t>
      </w:r>
    </w:p>
    <w:tbl>
      <w:tblPr>
        <w:tblStyle w:val="Table"/>
        <w:tblW w:type="pct" w:w="5000"/>
        <w:tblLook w:firstRow="1" w:lastRow="0" w:firstColumn="0" w:lastColumn="0" w:noHBand="0" w:noVBand="0" w:val="0020"/>
      </w:tblPr>
      <w:tblGrid>
        <w:gridCol w:w="625"/>
        <w:gridCol w:w="729"/>
        <w:gridCol w:w="1563"/>
        <w:gridCol w:w="1667"/>
        <w:gridCol w:w="1980"/>
        <w:gridCol w:w="1354"/>
      </w:tblGrid>
      <w:tr>
        <w:trPr>
          <w:tblHeader w:val="true"/>
        </w:trPr>
        <w:tc>
          <w:tcPr/>
          <w:p>
            <w:pPr>
              <w:pStyle w:val="Compact"/>
              <w:jc w:val="left"/>
            </w:pPr>
            <w:r>
              <w:t xml:space="preserve">Rank</w:t>
            </w:r>
          </w:p>
        </w:tc>
        <w:tc>
          <w:tcPr/>
          <w:p>
            <w:pPr>
              <w:pStyle w:val="Compact"/>
              <w:jc w:val="left"/>
            </w:pPr>
            <w:r>
              <w:t xml:space="preserve">Model</w:t>
            </w:r>
          </w:p>
        </w:tc>
        <w:tc>
          <w:tcPr/>
          <w:p>
            <w:pPr>
              <w:pStyle w:val="Compact"/>
              <w:jc w:val="left"/>
            </w:pPr>
            <w:r>
              <w:t xml:space="preserve">Revenue Leader</w:t>
            </w:r>
          </w:p>
        </w:tc>
        <w:tc>
          <w:tcPr/>
          <w:p>
            <w:pPr>
              <w:pStyle w:val="Compact"/>
              <w:jc w:val="left"/>
            </w:pPr>
            <w:r>
              <w:t xml:space="preserve">Margin Profile</w:t>
            </w:r>
          </w:p>
        </w:tc>
        <w:tc>
          <w:tcPr/>
          <w:p>
            <w:pPr>
              <w:pStyle w:val="Compact"/>
              <w:jc w:val="left"/>
            </w:pPr>
            <w:r>
              <w:t xml:space="preserve">Capital Efficiency</w:t>
            </w:r>
          </w:p>
        </w:tc>
        <w:tc>
          <w:tcPr/>
          <w:p>
            <w:pPr>
              <w:pStyle w:val="Compact"/>
              <w:jc w:val="left"/>
            </w:pPr>
            <w:r>
              <w:t xml:space="preserve">Scalability</w:t>
            </w:r>
          </w:p>
        </w:tc>
      </w:tr>
      <w:tr>
        <w:tc>
          <w:tcPr/>
          <w:p>
            <w:pPr>
              <w:pStyle w:val="Compact"/>
              <w:jc w:val="left"/>
            </w:pPr>
            <w:r>
              <w:t xml:space="preserve">1</w:t>
            </w:r>
          </w:p>
        </w:tc>
        <w:tc>
          <w:tcPr/>
          <w:p>
            <w:pPr>
              <w:pStyle w:val="Compact"/>
              <w:jc w:val="left"/>
            </w:pPr>
            <w:r>
              <w:t xml:space="preserve">Hardware wallets</w:t>
            </w:r>
          </w:p>
        </w:tc>
        <w:tc>
          <w:tcPr/>
          <w:p>
            <w:pPr>
              <w:pStyle w:val="Compact"/>
              <w:jc w:val="left"/>
            </w:pPr>
            <w:r>
              <w:t xml:space="preserve">Ledger ($70.9M)</w:t>
            </w:r>
            <w:r>
              <w:t xml:space="preserve"> </w:t>
            </w:r>
            <w:fldSimple w:instr="NOTEREF _Ref_Footnote_102 \h \f">
              <w:r>
                <w:rPr>
                  <w:vertAlign w:val="superscript"/>
                </w:rPr>
                <w:t>102</w:t>
              </w:r>
            </w:fldSimple>
          </w:p>
        </w:tc>
        <w:tc>
          <w:tcPr/>
          <w:p>
            <w:pPr>
              <w:pStyle w:val="Compact"/>
              <w:jc w:val="left"/>
            </w:pPr>
            <w:r>
              <w:t xml:space="preserve">30–50% gross margin</w:t>
            </w:r>
          </w:p>
        </w:tc>
        <w:tc>
          <w:tcPr/>
          <w:p>
            <w:pPr>
              <w:pStyle w:val="Compact"/>
              <w:jc w:val="left"/>
            </w:pPr>
            <w:r>
              <w:t xml:space="preserve">Low (high R&amp;D, inventory)</w:t>
            </w:r>
          </w:p>
        </w:tc>
        <w:tc>
          <w:tcPr/>
          <w:p>
            <w:pPr>
              <w:pStyle w:val="Compact"/>
              <w:jc w:val="left"/>
            </w:pPr>
            <w:r>
              <w:t xml:space="preserve">Medium</w:t>
            </w:r>
          </w:p>
        </w:tc>
      </w:tr>
      <w:tr>
        <w:tc>
          <w:tcPr/>
          <w:p>
            <w:pPr>
              <w:pStyle w:val="Compact"/>
              <w:jc w:val="left"/>
            </w:pPr>
            <w:r>
              <w:t xml:space="preserve">2</w:t>
            </w:r>
          </w:p>
        </w:tc>
        <w:tc>
          <w:tcPr/>
          <w:p>
            <w:pPr>
              <w:pStyle w:val="Compact"/>
              <w:jc w:val="left"/>
            </w:pPr>
            <w:r>
              <w:t xml:space="preserve">DCA / savings apps</w:t>
            </w:r>
          </w:p>
        </w:tc>
        <w:tc>
          <w:tcPr/>
          <w:p>
            <w:pPr>
              <w:pStyle w:val="Compact"/>
              <w:jc w:val="left"/>
            </w:pPr>
            <w:r>
              <w:t xml:space="preserve">Bitstack (10× growth)</w:t>
            </w:r>
          </w:p>
        </w:tc>
        <w:tc>
          <w:tcPr/>
          <w:p>
            <w:pPr>
              <w:pStyle w:val="Compact"/>
              <w:jc w:val="left"/>
            </w:pPr>
            <w:r>
              <w:t xml:space="preserve">1–2% transaction spread + fees</w:t>
            </w:r>
          </w:p>
        </w:tc>
        <w:tc>
          <w:tcPr/>
          <w:p>
            <w:pPr>
              <w:pStyle w:val="Compact"/>
              <w:jc w:val="left"/>
            </w:pPr>
            <w:r>
              <w:t xml:space="preserve">High (asset-light)</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Transaction fees</w:t>
            </w:r>
          </w:p>
        </w:tc>
        <w:tc>
          <w:tcPr/>
          <w:p>
            <w:pPr>
              <w:pStyle w:val="Compact"/>
              <w:jc w:val="left"/>
            </w:pPr>
            <w:r>
              <w:t xml:space="preserve">Relai ($3.1M)</w:t>
            </w:r>
          </w:p>
        </w:tc>
        <w:tc>
          <w:tcPr/>
          <w:p>
            <w:pPr>
              <w:pStyle w:val="Compact"/>
              <w:jc w:val="left"/>
            </w:pPr>
            <w:r>
              <w:t xml:space="preserve">0.79–1% per trade</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B2B infrastructure/API</w:t>
            </w:r>
          </w:p>
        </w:tc>
        <w:tc>
          <w:tcPr/>
          <w:p>
            <w:pPr>
              <w:pStyle w:val="Compact"/>
              <w:jc w:val="left"/>
            </w:pPr>
            <w:r>
              <w:t xml:space="preserve">Relai (API planned)</w:t>
            </w:r>
          </w:p>
        </w:tc>
        <w:tc>
          <w:tcPr/>
          <w:p>
            <w:pPr>
              <w:pStyle w:val="Compact"/>
              <w:jc w:val="left"/>
            </w:pPr>
            <w:r>
              <w:t xml:space="preserve">SaaS margins: 70–80% gross</w:t>
            </w:r>
          </w:p>
        </w:tc>
        <w:tc>
          <w:tcPr/>
          <w:p>
            <w:pPr>
              <w:pStyle w:val="Compact"/>
              <w:jc w:val="left"/>
            </w:pPr>
            <w:r>
              <w:t xml:space="preserve">Very high</w:t>
            </w:r>
          </w:p>
        </w:tc>
        <w:tc>
          <w:tcPr/>
          <w:p>
            <w:pPr>
              <w:pStyle w:val="Compact"/>
              <w:jc w:val="left"/>
            </w:pPr>
            <w:r>
              <w:t xml:space="preserve">Very high</w:t>
            </w:r>
          </w:p>
        </w:tc>
      </w:tr>
      <w:tr>
        <w:tc>
          <w:tcPr/>
          <w:p>
            <w:pPr>
              <w:pStyle w:val="Compact"/>
              <w:jc w:val="left"/>
            </w:pPr>
            <w:r>
              <w:t xml:space="preserve">5</w:t>
            </w:r>
          </w:p>
        </w:tc>
        <w:tc>
          <w:tcPr/>
          <w:p>
            <w:pPr>
              <w:pStyle w:val="Compact"/>
              <w:jc w:val="left"/>
            </w:pPr>
            <w:r>
              <w:t xml:space="preserve">Grant-funded open-source</w:t>
            </w:r>
          </w:p>
        </w:tc>
        <w:tc>
          <w:tcPr/>
          <w:p>
            <w:pPr>
              <w:pStyle w:val="Compact"/>
              <w:jc w:val="left"/>
            </w:pPr>
            <w:r>
              <w:t xml:space="preserve">BTCPay Server</w:t>
            </w:r>
          </w:p>
        </w:tc>
        <w:tc>
          <w:tcPr/>
          <w:p>
            <w:pPr>
              <w:pStyle w:val="Compact"/>
              <w:jc w:val="left"/>
            </w:pPr>
            <w:r>
              <w:t xml:space="preserve">N/A (no revenue)</w:t>
            </w:r>
          </w:p>
        </w:tc>
        <w:tc>
          <w:tcPr/>
          <w:p>
            <w:pPr>
              <w:pStyle w:val="Compact"/>
              <w:jc w:val="left"/>
            </w:pPr>
            <w:r>
              <w:t xml:space="preserve">N/A</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Bitcoin treasury mgmt</w:t>
            </w:r>
          </w:p>
        </w:tc>
        <w:tc>
          <w:tcPr/>
          <w:p>
            <w:pPr>
              <w:pStyle w:val="Compact"/>
              <w:jc w:val="left"/>
            </w:pPr>
            <w:r>
              <w:t xml:space="preserve">FUTURE Holdings ($34M raised)</w:t>
            </w:r>
          </w:p>
        </w:tc>
        <w:tc>
          <w:tcPr/>
          <w:p>
            <w:pPr>
              <w:pStyle w:val="Compact"/>
              <w:jc w:val="left"/>
            </w:pPr>
            <w:r>
              <w:t xml:space="preserve">AUM-based fees</w:t>
            </w:r>
          </w:p>
        </w:tc>
        <w:tc>
          <w:tcPr/>
          <w:p>
            <w:pPr>
              <w:pStyle w:val="Compact"/>
              <w:jc w:val="left"/>
            </w:pPr>
            <w:r>
              <w:t xml:space="preserve">Medium</w:t>
            </w:r>
          </w:p>
        </w:tc>
        <w:tc>
          <w:tcPr/>
          <w:p>
            <w:pPr>
              <w:pStyle w:val="Compact"/>
              <w:jc w:val="left"/>
            </w:pPr>
            <w:r>
              <w:t xml:space="preserve">Medium</w:t>
            </w:r>
          </w:p>
        </w:tc>
      </w:tr>
    </w:tbl>
    <w:bookmarkEnd w:id="90"/>
    <w:bookmarkStart w:id="91" w:name="capital-efficiency-comparison"/>
    <w:p>
      <w:pPr>
        <w:pStyle w:val="Heading3"/>
      </w:pPr>
      <w:r>
        <w:t xml:space="preserve">4.4.2 Capital Efficiency Comparison</w:t>
      </w:r>
    </w:p>
    <w:tbl>
      <w:tblPr>
        <w:tblStyle w:val="Table"/>
        <w:tblW w:type="pct" w:w="5000"/>
        <w:tblLook w:firstRow="1" w:lastRow="0" w:firstColumn="0" w:lastColumn="0" w:noHBand="0" w:noVBand="0" w:val="0020"/>
      </w:tblPr>
      <w:tblGrid>
        <w:gridCol w:w="622"/>
        <w:gridCol w:w="2224"/>
        <w:gridCol w:w="1512"/>
        <w:gridCol w:w="1868"/>
        <w:gridCol w:w="1690"/>
      </w:tblGrid>
      <w:tr>
        <w:trPr>
          <w:tblHeader w:val="true"/>
        </w:trPr>
        <w:tc>
          <w:tcPr/>
          <w:p>
            <w:pPr>
              <w:pStyle w:val="Compact"/>
              <w:jc w:val="left"/>
            </w:pPr>
            <w:r>
              <w:t xml:space="preserve">Model</w:t>
            </w:r>
          </w:p>
        </w:tc>
        <w:tc>
          <w:tcPr/>
          <w:p>
            <w:pPr>
              <w:pStyle w:val="Compact"/>
              <w:jc w:val="left"/>
            </w:pPr>
            <w:r>
              <w:t xml:space="preserve">Upfront Capital Required</w:t>
            </w:r>
          </w:p>
        </w:tc>
        <w:tc>
          <w:tcPr/>
          <w:p>
            <w:pPr>
              <w:pStyle w:val="Compact"/>
              <w:jc w:val="left"/>
            </w:pPr>
            <w:r>
              <w:t xml:space="preserve">Time to Revenue</w:t>
            </w:r>
          </w:p>
        </w:tc>
        <w:tc>
          <w:tcPr/>
          <w:p>
            <w:pPr>
              <w:pStyle w:val="Compact"/>
              <w:jc w:val="left"/>
            </w:pPr>
            <w:r>
              <w:t xml:space="preserve">Revenue per Employee</w:t>
            </w:r>
          </w:p>
        </w:tc>
        <w:tc>
          <w:tcPr/>
          <w:p>
            <w:pPr>
              <w:pStyle w:val="Compact"/>
              <w:jc w:val="left"/>
            </w:pPr>
            <w:r>
              <w:t xml:space="preserve">Recurring Revenue</w:t>
            </w:r>
          </w:p>
        </w:tc>
      </w:tr>
      <w:tr>
        <w:tc>
          <w:tcPr/>
          <w:p>
            <w:pPr>
              <w:pStyle w:val="Compact"/>
              <w:jc w:val="left"/>
            </w:pPr>
            <w:r>
              <w:t xml:space="preserve">Hardware wallets</w:t>
            </w:r>
          </w:p>
        </w:tc>
        <w:tc>
          <w:tcPr/>
          <w:p>
            <w:pPr>
              <w:pStyle w:val="Compact"/>
              <w:jc w:val="left"/>
            </w:pPr>
            <w:r>
              <w:t xml:space="preserve">$1–3M (R&amp;D + certification)</w:t>
            </w:r>
          </w:p>
        </w:tc>
        <w:tc>
          <w:tcPr/>
          <w:p>
            <w:pPr>
              <w:pStyle w:val="Compact"/>
              <w:jc w:val="left"/>
            </w:pPr>
            <w:r>
              <w:t xml:space="preserve">12–24 months</w:t>
            </w:r>
          </w:p>
        </w:tc>
        <w:tc>
          <w:tcPr/>
          <w:p>
            <w:pPr>
              <w:pStyle w:val="Compact"/>
              <w:jc w:val="left"/>
            </w:pPr>
            <w:r>
              <w:t xml:space="preserve">~$9K (Ledger)</w:t>
            </w:r>
          </w:p>
        </w:tc>
        <w:tc>
          <w:tcPr/>
          <w:p>
            <w:pPr>
              <w:pStyle w:val="Compact"/>
              <w:jc w:val="left"/>
            </w:pPr>
            <w:r>
              <w:t xml:space="preserve">Low (one-time sale)</w:t>
            </w:r>
          </w:p>
        </w:tc>
      </w:tr>
      <w:tr>
        <w:tc>
          <w:tcPr/>
          <w:p>
            <w:pPr>
              <w:pStyle w:val="Compact"/>
              <w:jc w:val="left"/>
            </w:pPr>
            <w:r>
              <w:t xml:space="preserve">DCA apps</w:t>
            </w:r>
          </w:p>
        </w:tc>
        <w:tc>
          <w:tcPr/>
          <w:p>
            <w:pPr>
              <w:pStyle w:val="Compact"/>
              <w:jc w:val="left"/>
            </w:pPr>
            <w:r>
              <w:t xml:space="preserve">$200–500K</w:t>
            </w:r>
          </w:p>
        </w:tc>
        <w:tc>
          <w:tcPr/>
          <w:p>
            <w:pPr>
              <w:pStyle w:val="Compact"/>
              <w:jc w:val="left"/>
            </w:pPr>
            <w:r>
              <w:t xml:space="preserve">3–6 months</w:t>
            </w:r>
          </w:p>
        </w:tc>
        <w:tc>
          <w:tcPr/>
          <w:p>
            <w:pPr>
              <w:pStyle w:val="Compact"/>
              <w:jc w:val="left"/>
            </w:pPr>
            <w:r>
              <w:t xml:space="preserve">~$50K+ (Bitstack est.)</w:t>
            </w:r>
          </w:p>
        </w:tc>
        <w:tc>
          <w:tcPr/>
          <w:p>
            <w:pPr>
              <w:pStyle w:val="Compact"/>
              <w:jc w:val="left"/>
            </w:pPr>
            <w:r>
              <w:t xml:space="preserve">High (habitual usage)</w:t>
            </w:r>
          </w:p>
        </w:tc>
      </w:tr>
      <w:tr>
        <w:tc>
          <w:tcPr/>
          <w:p>
            <w:pPr>
              <w:pStyle w:val="Compact"/>
              <w:jc w:val="left"/>
            </w:pPr>
            <w:r>
              <w:t xml:space="preserve">Transaction fees</w:t>
            </w:r>
          </w:p>
        </w:tc>
        <w:tc>
          <w:tcPr/>
          <w:p>
            <w:pPr>
              <w:pStyle w:val="Compact"/>
              <w:jc w:val="left"/>
            </w:pPr>
            <w:r>
              <w:t xml:space="preserve">$100–300K</w:t>
            </w:r>
          </w:p>
        </w:tc>
        <w:tc>
          <w:tcPr/>
          <w:p>
            <w:pPr>
              <w:pStyle w:val="Compact"/>
              <w:jc w:val="left"/>
            </w:pPr>
            <w:r>
              <w:t xml:space="preserve">1–3 months</w:t>
            </w:r>
          </w:p>
        </w:tc>
        <w:tc>
          <w:tcPr/>
          <w:p>
            <w:pPr>
              <w:pStyle w:val="Compact"/>
              <w:jc w:val="left"/>
            </w:pPr>
            <w:r>
              <w:t xml:space="preserve">~$25K (Relai est.)</w:t>
            </w:r>
          </w:p>
        </w:tc>
        <w:tc>
          <w:tcPr/>
          <w:p>
            <w:pPr>
              <w:pStyle w:val="Compact"/>
              <w:jc w:val="left"/>
            </w:pPr>
            <w:r>
              <w:t xml:space="preserve">Medium (usage-dependent)</w:t>
            </w:r>
          </w:p>
        </w:tc>
      </w:tr>
      <w:tr>
        <w:tc>
          <w:tcPr/>
          <w:p>
            <w:pPr>
              <w:pStyle w:val="Compact"/>
              <w:jc w:val="left"/>
            </w:pPr>
            <w:r>
              <w:t xml:space="preserve">B2B API</w:t>
            </w:r>
          </w:p>
        </w:tc>
        <w:tc>
          <w:tcPr/>
          <w:p>
            <w:pPr>
              <w:pStyle w:val="Compact"/>
              <w:jc w:val="left"/>
            </w:pPr>
            <w:r>
              <w:t xml:space="preserve">$500K–1M</w:t>
            </w:r>
          </w:p>
        </w:tc>
        <w:tc>
          <w:tcPr/>
          <w:p>
            <w:pPr>
              <w:pStyle w:val="Compact"/>
              <w:jc w:val="left"/>
            </w:pPr>
            <w:r>
              <w:t xml:space="preserve">6–12 months</w:t>
            </w:r>
          </w:p>
        </w:tc>
        <w:tc>
          <w:tcPr/>
          <w:p>
            <w:pPr>
              <w:pStyle w:val="Compact"/>
              <w:jc w:val="left"/>
            </w:pPr>
            <w:r>
              <w:t xml:space="preserve">~$100K+ (projected)</w:t>
            </w:r>
          </w:p>
        </w:tc>
        <w:tc>
          <w:tcPr/>
          <w:p>
            <w:pPr>
              <w:pStyle w:val="Compact"/>
              <w:jc w:val="left"/>
            </w:pPr>
            <w:r>
              <w:t xml:space="preserve">Very high (contracts)</w:t>
            </w:r>
          </w:p>
        </w:tc>
      </w:tr>
    </w:tbl>
    <w:p>
      <w:pPr>
        <w:numPr>
          <w:ilvl w:val="0"/>
          <w:numId w:val="1037"/>
        </w:numPr>
        <w:pStyle w:val="Compact"/>
      </w:pPr>
      <w:r>
        <w:t xml:space="preserve">Hardware wallets generate the highest absolute revenue but require the most upfront capital — $1M+ for R&amp;D, $50K–$250K per certification, and 12–24 months to market</w:t>
      </w:r>
      <w:r>
        <w:t xml:space="preserve"> </w:t>
      </w:r>
      <w:fldSimple w:instr="NOTEREF _Ref_Footnote_33 \h \f">
        <w:r>
          <w:rPr>
            <w:vertAlign w:val="superscript"/>
          </w:rPr>
          <w:t>33</w:t>
        </w:r>
      </w:fldSimple>
      <w:r>
        <w:t xml:space="preserve">.</w:t>
      </w:r>
    </w:p>
    <w:p>
      <w:pPr>
        <w:numPr>
          <w:ilvl w:val="0"/>
          <w:numId w:val="1037"/>
        </w:numPr>
        <w:pStyle w:val="Compact"/>
      </w:pPr>
      <w:r>
        <w:t xml:space="preserve">DCA apps demonstrate the best capital efficiency: Bitstack achieved 10× revenue growth with minimal incremental capital; retention rates exceed 85%</w:t>
      </w:r>
      <w:r>
        <w:t xml:space="preserve"> </w:t>
      </w:r>
      <w:fldSimple w:instr="NOTEREF _Ref_Footnote_44 \h \f">
        <w:r>
          <w:rPr>
            <w:vertAlign w:val="superscript"/>
          </w:rPr>
          <w:t>44</w:t>
        </w:r>
      </w:fldSimple>
      <w:r>
        <w:t xml:space="preserve">.</w:t>
      </w:r>
    </w:p>
    <w:p>
      <w:pPr>
        <w:numPr>
          <w:ilvl w:val="0"/>
          <w:numId w:val="1037"/>
        </w:numPr>
        <w:pStyle w:val="Compact"/>
      </w:pPr>
      <w:r>
        <w:t xml:space="preserve">B2B infrastructure remains largely unexploited in Europe — no dominant Lightning-as-a-Service provider exists despite Europe hosting 36.7% of global Bitcoin nodes.</w:t>
      </w:r>
    </w:p>
    <w:p>
      <w:pPr>
        <w:numPr>
          <w:ilvl w:val="0"/>
          <w:numId w:val="1037"/>
        </w:numPr>
        <w:pStyle w:val="Compact"/>
      </w:pPr>
      <w:r>
        <w:t xml:space="preserve">Transaction-fee models scale with Bitcoin price appreciation; every BTC price increase raises per-transaction revenue in fiat terms.</w:t>
      </w:r>
    </w:p>
    <w:bookmarkEnd w:id="91"/>
    <w:bookmarkStart w:id="92" w:name="unit-economics-dcatransaction-fee-models"/>
    <w:p>
      <w:pPr>
        <w:pStyle w:val="Heading3"/>
      </w:pPr>
      <w:r>
        <w:t xml:space="preserve">4.4.3 Unit Economics — DCA/Transaction-Fee Models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Monthly ARPU</w:t>
            </w:r>
          </w:p>
        </w:tc>
        <w:tc>
          <w:tcPr/>
          <w:p>
            <w:pPr>
              <w:pStyle w:val="Compact"/>
              <w:jc w:val="left"/>
            </w:pPr>
            <w:r>
              <w:t xml:space="preserve">$18</w:t>
            </w:r>
          </w:p>
        </w:tc>
        <w:tc>
          <w:tcPr/>
          <w:p>
            <w:pPr>
              <w:pStyle w:val="Compact"/>
              <w:jc w:val="left"/>
            </w:pPr>
            <w:r>
              <w:t xml:space="preserve">Relai pitch deck</w:t>
            </w:r>
            <w:r>
              <w:t xml:space="preserve"> </w:t>
            </w:r>
            <w:fldSimple w:instr="NOTEREF _Ref_Footnote_44 \h \f">
              <w:r>
                <w:rPr>
                  <w:vertAlign w:val="superscript"/>
                </w:rPr>
                <w:t>44</w:t>
              </w:r>
            </w:fldSimple>
          </w:p>
        </w:tc>
      </w:tr>
      <w:tr>
        <w:tc>
          <w:tcPr/>
          <w:p>
            <w:pPr>
              <w:pStyle w:val="Compact"/>
              <w:jc w:val="left"/>
            </w:pPr>
            <w:r>
              <w:t xml:space="preserve">Customer Acquisition Cost</w:t>
            </w:r>
          </w:p>
        </w:tc>
        <w:tc>
          <w:tcPr/>
          <w:p>
            <w:pPr>
              <w:pStyle w:val="Compact"/>
              <w:jc w:val="left"/>
            </w:pPr>
            <w:r>
              <w:t xml:space="preserve">$26</w:t>
            </w:r>
          </w:p>
        </w:tc>
        <w:tc>
          <w:tcPr/>
          <w:p>
            <w:pPr>
              <w:pStyle w:val="Compact"/>
              <w:jc w:val="left"/>
            </w:pPr>
            <w:r>
              <w:t xml:space="preserve">Relai pitch deck</w:t>
            </w:r>
            <w:r>
              <w:t xml:space="preserve"> </w:t>
            </w:r>
            <w:fldSimple w:instr="NOTEREF _Ref_Footnote_44 \h \f">
              <w:r>
                <w:rPr>
                  <w:vertAlign w:val="superscript"/>
                </w:rPr>
                <w:t>44</w:t>
              </w:r>
            </w:fldSimple>
          </w:p>
        </w:tc>
      </w:tr>
      <w:tr>
        <w:tc>
          <w:tcPr/>
          <w:p>
            <w:pPr>
              <w:pStyle w:val="Compact"/>
              <w:jc w:val="left"/>
            </w:pPr>
            <w:r>
              <w:t xml:space="preserve">Customer Lifetime Value</w:t>
            </w:r>
          </w:p>
        </w:tc>
        <w:tc>
          <w:tcPr/>
          <w:p>
            <w:pPr>
              <w:pStyle w:val="Compact"/>
              <w:jc w:val="left"/>
            </w:pPr>
            <w:r>
              <w:t xml:space="preserve">$120</w:t>
            </w:r>
          </w:p>
        </w:tc>
        <w:tc>
          <w:tcPr/>
          <w:p>
            <w:pPr>
              <w:pStyle w:val="Compact"/>
              <w:jc w:val="left"/>
            </w:pPr>
            <w:r>
              <w:t xml:space="preserve">Relai pitch deck</w:t>
            </w:r>
            <w:r>
              <w:t xml:space="preserve"> </w:t>
            </w:r>
            <w:fldSimple w:instr="NOTEREF _Ref_Footnote_44 \h \f">
              <w:r>
                <w:rPr>
                  <w:vertAlign w:val="superscript"/>
                </w:rPr>
                <w:t>44</w:t>
              </w:r>
            </w:fldSimple>
          </w:p>
        </w:tc>
      </w:tr>
      <w:tr>
        <w:tc>
          <w:tcPr/>
          <w:p>
            <w:pPr>
              <w:pStyle w:val="Compact"/>
              <w:jc w:val="left"/>
            </w:pPr>
            <w:r>
              <w:t xml:space="preserve">Retention rate</w:t>
            </w:r>
          </w:p>
        </w:tc>
        <w:tc>
          <w:tcPr/>
          <w:p>
            <w:pPr>
              <w:pStyle w:val="Compact"/>
              <w:jc w:val="left"/>
            </w:pPr>
            <w:r>
              <w:t xml:space="preserve">85%</w:t>
            </w:r>
          </w:p>
        </w:tc>
        <w:tc>
          <w:tcPr/>
          <w:p>
            <w:pPr>
              <w:pStyle w:val="Compact"/>
              <w:jc w:val="left"/>
            </w:pPr>
            <w:r>
              <w:t xml:space="preserve">Relai pitch deck</w:t>
            </w:r>
            <w:r>
              <w:t xml:space="preserve"> </w:t>
            </w:r>
            <w:fldSimple w:instr="NOTEREF _Ref_Footnote_44 \h \f">
              <w:r>
                <w:rPr>
                  <w:vertAlign w:val="superscript"/>
                </w:rPr>
                <w:t>44</w:t>
              </w:r>
            </w:fldSimple>
          </w:p>
        </w:tc>
      </w:tr>
      <w:tr>
        <w:tc>
          <w:tcPr/>
          <w:p>
            <w:pPr>
              <w:pStyle w:val="Compact"/>
              <w:jc w:val="left"/>
            </w:pPr>
            <w:r>
              <w:t xml:space="preserve">CLV:CAC ratio</w:t>
            </w:r>
          </w:p>
        </w:tc>
        <w:tc>
          <w:tcPr/>
          <w:p>
            <w:pPr>
              <w:pStyle w:val="Compact"/>
              <w:jc w:val="left"/>
            </w:pPr>
            <w:r>
              <w:t xml:space="preserve">4.6:1</w:t>
            </w:r>
          </w:p>
        </w:tc>
        <w:tc>
          <w:tcPr/>
          <w:p>
            <w:pPr>
              <w:pStyle w:val="Compact"/>
              <w:jc w:val="left"/>
            </w:pPr>
            <w:r>
              <w:t xml:space="preserve">Calculated from Relai data</w:t>
            </w:r>
          </w:p>
        </w:tc>
      </w:tr>
    </w:tbl>
    <w:p>
      <w:pPr>
        <w:numPr>
          <w:ilvl w:val="0"/>
          <w:numId w:val="1038"/>
        </w:numPr>
        <w:pStyle w:val="Compact"/>
      </w:pPr>
      <w:r>
        <w:t xml:space="preserve">A CLV:CAC ratio of 4.6:1 exceeds the 3:1 benchmark considered healthy for SaaS/consumer fintech.</w:t>
      </w:r>
    </w:p>
    <w:p>
      <w:pPr>
        <w:numPr>
          <w:ilvl w:val="0"/>
          <w:numId w:val="1038"/>
        </w:numPr>
        <w:pStyle w:val="Compact"/>
      </w:pPr>
      <w:r>
        <w:t xml:space="preserve">The $26 CAC is well below the $85–150 range typical for crypto exchanges and DeFi protocols, demonstrating the organic growth advantage of Bitcoin-only DCA products.</w:t>
      </w:r>
    </w:p>
    <w:p>
      <w:pPr>
        <w:numPr>
          <w:ilvl w:val="0"/>
          <w:numId w:val="1038"/>
        </w:numPr>
        <w:pStyle w:val="Compact"/>
      </w:pPr>
      <w:r>
        <w:t xml:space="preserve">At 85% retention, DCA apps exhibit stickiness comparable to neobanks, driven by the behavioral lock-in of automated savings.</w:t>
      </w:r>
    </w:p>
    <w:bookmarkEnd w:id="92"/>
    <w:bookmarkStart w:id="93" w:name="key-capital-flow-insights"/>
    <w:p>
      <w:pPr>
        <w:pStyle w:val="Heading3"/>
      </w:pPr>
      <w:r>
        <w:t xml:space="preserve">4.4.4 Key Capital Flow Insights</w:t>
      </w:r>
    </w:p>
    <w:p>
      <w:pPr>
        <w:numPr>
          <w:ilvl w:val="0"/>
          <w:numId w:val="1039"/>
        </w:numPr>
      </w:pPr>
      <w:r>
        <w:rPr>
          <w:bCs/>
          <w:b/>
        </w:rPr>
        <w:t xml:space="preserve">France dominates by volume, Switzerland by conviction.</w:t>
      </w:r>
      <w:r>
        <w:t xml:space="preserve"> </w:t>
      </w:r>
      <w:r>
        <w:t xml:space="preserve">French companies (Ledger, Bitstack, ACINQ, LN Markets) attracted ~$700M+ in total VC; Swiss firms (Relai, Tangem, FUTURE) command the highest share of Bitcoin-only fund capital</w:t>
      </w:r>
      <w:r>
        <w:t xml:space="preserve"> </w:t>
      </w:r>
      <w:fldSimple w:instr="NOTEREF _Ref_Footnote_111 \h \f">
        <w:r>
          <w:rPr>
            <w:vertAlign w:val="superscript"/>
          </w:rPr>
          <w:t>111</w:t>
        </w:r>
      </w:fldSimple>
      <w:r>
        <w:t xml:space="preserve"> </w:t>
      </w:r>
      <w:fldSimple w:instr="NOTEREF _Ref_Footnote_103 \h \f">
        <w:r>
          <w:rPr>
            <w:vertAlign w:val="superscript"/>
          </w:rPr>
          <w:t>103</w:t>
        </w:r>
      </w:fldSimple>
      <w:r>
        <w:t xml:space="preserve">.</w:t>
      </w:r>
    </w:p>
    <w:p>
      <w:pPr>
        <w:numPr>
          <w:ilvl w:val="0"/>
          <w:numId w:val="1039"/>
        </w:numPr>
      </w:pPr>
      <w:r>
        <w:rPr>
          <w:bCs/>
          <w:b/>
        </w:rPr>
        <w:t xml:space="preserve">Hardware wallets are the revenue kings but software is the growth engine.</w:t>
      </w:r>
      <w:r>
        <w:t xml:space="preserve"> </w:t>
      </w:r>
      <w:r>
        <w:t xml:space="preserve">Ledger’s $70.9M dwarfs all app-based revenue, yet Bitstack’s 10× growth in 2 years and Relai’s 300% YoY growth signal where capital will flow next</w:t>
      </w:r>
      <w:r>
        <w:t xml:space="preserve"> </w:t>
      </w:r>
      <w:fldSimple w:instr="NOTEREF _Ref_Footnote_102 \h \f">
        <w:r>
          <w:rPr>
            <w:vertAlign w:val="superscript"/>
          </w:rPr>
          <w:t>102</w:t>
        </w:r>
      </w:fldSimple>
      <w:r>
        <w:t xml:space="preserve"> </w:t>
      </w:r>
      <w:fldSimple w:instr="NOTEREF _Ref_Footnote_104 \h \f">
        <w:r>
          <w:rPr>
            <w:vertAlign w:val="superscript"/>
          </w:rPr>
          <w:t>104</w:t>
        </w:r>
      </w:fldSimple>
      <w:r>
        <w:t xml:space="preserve"> </w:t>
      </w:r>
      <w:fldSimple w:instr="NOTEREF _Ref_Footnote_103 \h \f">
        <w:r>
          <w:rPr>
            <w:vertAlign w:val="superscript"/>
          </w:rPr>
          <w:t>103</w:t>
        </w:r>
      </w:fldSimple>
      <w:r>
        <w:t xml:space="preserve">.</w:t>
      </w:r>
    </w:p>
    <w:p>
      <w:pPr>
        <w:numPr>
          <w:ilvl w:val="0"/>
          <w:numId w:val="1039"/>
        </w:numPr>
      </w:pPr>
      <w:r>
        <w:rPr>
          <w:bCs/>
          <w:b/>
        </w:rPr>
        <w:t xml:space="preserve">Grant funding is maturing as a parallel capital stack.</w:t>
      </w:r>
      <w:r>
        <w:t xml:space="preserve"> </w:t>
      </w:r>
      <w:r>
        <w:t xml:space="preserve">OpenSats alone deploys $12M+ annually — creating a non-dilutive funding layer for Bitcoin infrastructure that no other crypto segment can match</w:t>
      </w:r>
      <w:r>
        <w:t xml:space="preserve"> </w:t>
      </w:r>
      <w:fldSimple w:instr="NOTEREF _Ref_Footnote_116 \h \f">
        <w:r>
          <w:rPr>
            <w:vertAlign w:val="superscript"/>
          </w:rPr>
          <w:t>116</w:t>
        </w:r>
      </w:fldSimple>
      <w:r>
        <w:t xml:space="preserve">.</w:t>
      </w:r>
    </w:p>
    <w:p>
      <w:pPr>
        <w:numPr>
          <w:ilvl w:val="0"/>
          <w:numId w:val="1039"/>
        </w:numPr>
      </w:pPr>
      <w:r>
        <w:rPr>
          <w:bCs/>
          <w:b/>
        </w:rPr>
        <w:t xml:space="preserve">The Bitcoin-only VC category is emerging as distinct from general crypto VC.</w:t>
      </w:r>
      <w:r>
        <w:t xml:space="preserve"> </w:t>
      </w:r>
      <w:r>
        <w:t xml:space="preserve">Ego Death Capital’s $100M Fund II and TVP’s institutional LP base demonstrate that Bitcoin-native investment is becoming an institutional asset class, not a niche</w:t>
      </w:r>
      <w:r>
        <w:t xml:space="preserve"> </w:t>
      </w:r>
      <w:fldSimple w:instr="NOTEREF _Ref_Footnote_111 \h \f">
        <w:r>
          <w:rPr>
            <w:vertAlign w:val="superscript"/>
          </w:rPr>
          <w:t>111</w:t>
        </w:r>
      </w:fldSimple>
      <w:r>
        <w:t xml:space="preserve"> </w:t>
      </w:r>
      <w:fldSimple w:instr="NOTEREF _Ref_Footnote_112 \h \f">
        <w:r>
          <w:rPr>
            <w:vertAlign w:val="superscript"/>
          </w:rPr>
          <w:t>112</w:t>
        </w:r>
      </w:fldSimple>
      <w:r>
        <w:t xml:space="preserve">.</w:t>
      </w:r>
    </w:p>
    <w:p>
      <w:pPr>
        <w:numPr>
          <w:ilvl w:val="0"/>
          <w:numId w:val="1039"/>
        </w:numPr>
      </w:pPr>
      <w:r>
        <w:rPr>
          <w:bCs/>
          <w:b/>
        </w:rPr>
        <w:t xml:space="preserve">B2B infrastructure represents the largest uncaptured opportunity.</w:t>
      </w:r>
      <w:r>
        <w:t xml:space="preserve"> </w:t>
      </w:r>
      <w:r>
        <w:t xml:space="preserve">Europe dominates Bitcoin hardware (60%+ global share) and node infrastructure (36.7% of nodes), yet has no equivalent to US-based Lightspark or Voltage in the Lightning infrastructure layer.</w:t>
      </w:r>
    </w:p>
    <w:p>
      <w:pPr>
        <w:numPr>
          <w:ilvl w:val="0"/>
          <w:numId w:val="1039"/>
        </w:numPr>
      </w:pPr>
      <w:r>
        <w:rPr>
          <w:bCs/>
          <w:b/>
        </w:rPr>
        <w:t xml:space="preserve">Ledger’s projected $4B IPO is a market-validating event.</w:t>
      </w:r>
      <w:r>
        <w:t xml:space="preserve"> </w:t>
      </w:r>
      <w:r>
        <w:t xml:space="preserve">If executed, it would represent the largest European crypto-native public listing and establish a benchmark for Bitcoin hardware valuations globally</w:t>
      </w:r>
      <w:r>
        <w:t xml:space="preserve"> </w:t>
      </w:r>
      <w:fldSimple w:instr="NOTEREF _Ref_Footnote_122 \h \f">
        <w:r>
          <w:rPr>
            <w:vertAlign w:val="superscript"/>
          </w:rPr>
          <w:t>122</w:t>
        </w:r>
      </w:fldSimple>
      <w:r>
        <w:t xml:space="preserve">.</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IMARC. https://www.imarcgroup.com/europe-cryptocurrency-market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Coincub. https://coincub.com/ranking/europe-crypto-report-2025/</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sqmagazine.co.uk. https://sqmagazine.co.uk/cryptocurrency-cold-wallet-statistics/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Investopedia. https://www.investopedia.com/ledger-nano-s-vs-x-5188903</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arXiv.org. https://arxiv.org/html/2511.15388v1</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newhedge.io. https://newhedge.io/bitcoin/node-map</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coinlaw.io. https://coinlaw.io/bitcoin-lightning-network-usage-statistics/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coldcard.com. https://coldcard.com/docs/compare-other-wallets/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newtrading.io. https://www.newtrading.io/cryptocurrency-statistics/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Research Nester. https://www.researchnester.com/reports/cryptocurrency-hardware-wallet-market/8037</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Dataintelo. https://dataintelo.com/report/non-custodial-wallets-market</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Bitbo. https://bitbo.io/news/lightning-monthly-volume-1b/</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Bitcoin Magazine. https://bitcoinmagazine.com/news/bitcoins-lightning-network-surpasses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Bitcoin News. https://bitcoinnews.com/p/bitcoin-adoption-2025-river-report</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blockstream.com. https://store.blockstream.com/collections/physical-storage?srsltid=AfmBOopubs-o2VdMmMRs3EqeMF-83btMh6IUyrJS3AmKOE05d2j7wExB</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sqmagazine.co.uk. https://sqmagazine.co.uk/crypto-payments-industry-statistics/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CoinGate. https://coingate.com/blog/post/crypto-payments-data-report-2025</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youtube.com. https://www.youtube.com/watch?v=0civS70ZyS0</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crypto.news. https://crypto.news/world-war-iii-threatens-bitcoin-mining-infrastructure/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Seedor. https://www.seedor.io/en/products/seedor-safe-starter-set-bitbox02-nova-bitcoin-only?srsltid=AfmBOoouOBqRKG9pNayvLcG-50YChspJWYY1pTodGHDCLPaF3mK1sCOF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Blockstream. https://blockstream.com/jade/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Fortune Business Insights. https://www.fortunebusinessinsights.com/crypto-atm-market-112710</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reddit.com. https://www.reddit.com/r/BuyFromEU/comments/1jvvucl/crypto_hardware_wallets_made_in_eu_and_eu/</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Mordor Intelligence. https://www.mordorintelligence.com/industry-reports/hardware-wallet-market</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Statista. https://www.statista.com/statistics/1202503/global-cryptocurrency-user-base/?srsltid=AfmBOorNRZJG7lmEk9afF6LJK9f5Bsl6-g3_cfOgrQR2_D5Gy53PQtu_</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btcpayserver.org. https://blog.btcpayserver.org/2025-report/</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marketgrowthreports.com. https://www.marketgrowthreports.com/market-reports/cryptocurrency-hardware-wallet-market-100116</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Billfodl. https://billfodl.com/blogs/billfodl/blockstream-jade-hardware-wallet-review?srsltid=AfmBOoqYiWZV-IXvDGM_x9bGhkx63gGXyyclndNf2QN0C55rz0tQSm4c</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Business Research Insights. https://www.businessresearchinsights.com/market-reports/crypto-wallet-market-110107</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coinbase.com. https://www.coinbase.com/en-de/price/local-coin-swap</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Market Research Future. https://www.marketresearchfuture.com/reports/cryptocurrency-hardware-wallet-market-28844</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ReAnIn Market Research and Consulting. https://www.reanin.com/reports/crypto-hardware-wallets-market</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mexc.com. https://www.mexc.com/news/1009882</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BTCC. https://www.btcc.com/en-CA/academy/crypto-trading/trading-guide/best-non-kyc-crypto-exchanges-for-2026</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coinlaw.io. https://coinlaw.io/self-custody-wallet-statistics/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Koinly. https://koinly.io/blog/top-no-kyc-crypto-exchanges/</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xreg.consulting. https://www.xreg.consulting/articles/crypto-custody-in-the-time-of-mica</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Webopedia. https://www.webopedia.com/crypto/exchanges/best-no-kyc-crypto-exchanges/</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AMBCrypto. https://ambcrypto.com/bitcoin-distribution-pressure-eases-as-100k-btc-exit-exchanges-amid-price-correction/</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PitchBook. https://pitchbook.com/profiles/company/109108-81</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Crypto Briefing. https://cryptobriefing.com/crypto-inflation-hedge-global-trends/</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Open Dialogue Foundation. https://en.odfoundation.eu/a/726702,impact-of-the-eu-and-fatf-regulatory-frameworks-on-non-custodial-crypto-assets-wallets/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eestifirma.ee. https://www.eestifirma.ee/en/mica-regulation-is-europe-losing-its-crypto-startups/</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Relai. https://relai.app/app/uploads/Relai_Pitch-Deck_Series-A_Sep-2024-1.pdf</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Relai. https://relai.app/blog/relai-vasp-italy/</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FintechNewsCH. https://fintechnews.ch/funding/relai-12-million-funding/73469/</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Market Reports World. https://www.marketreportsworld.com/market-reports/non-custodial-wallets-market-14723182</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Amberdata Blog. https://blog.amberdata.io/the-2b-problem-2025s-security-crisis-in-numbers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mexc.com. https://www.mexc.com/news/854380</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Bitcoin Suisse. https://bitcoinsuisse.com/individuals/custody</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spark.money. https://www.spark.money/tools/bitcoin-lightning-capacity-map</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CoinGate. https://coingate.com/blog/post/lightning-network-year-over-year-data</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Fidelity Digital Assets. https://www.fidelitydigitalassets.com/sites/g/files/djuvja3256/files/acquiadam/FDA_TheLightningNetwork_ExpandingBitcoinUseCases_1187503.1.0_V5.pdf</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LightningNetwork+. https://lightningnetwork.plus/posts/469</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CoinDesk. https://www.coindesk.com/business/2025/05/07/revolut-to-roll-out-bitcoin-lightning-payments-for-europe-users-through-lightspark</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Bitcoin Magazine. https://bitcoinmagazine.com/business/bitcoin-lightning-app-strike-expands-to-europe-with-global-transfers</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Market Data Forecast. https://www.marketdataforecast.com/market-reports/europe-cryptocurrency-exchanges-market</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zodiamarkets.com. https://zodiamarkets.com/blog/uk-pension-fund-bitcoin-allocation-reshaping-institutional-thinking/</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Investment &amp; Pensions Europe. https://www.ipe.com/news/first-uk-pension-fund-allocates-to-bitcoin/10076626.article</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XBTO. https://www.xbto.com/resources/institutional-crypto-adoption-2026-complete-guide-for-family-offices-and-asset-managers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Sygnum Bank. https://www.sygnum.com/wp-content/uploads/2025/11/Sygnum-Future-Finance-Report-2025-030.pdf</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Stage Startups From Austria Worth Your Attention. https://vestbee.com/insights/articles/top-european-funding-rounds-closed-in-june-2025</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tradingview.com. https://www.tradingview.com/news/cryptonews:7f7c5a15c094b:0-germany-s-dekabank-joins-crypto-market-with-institutional-only-services/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Bitcoin Magazine. https://bitcoinmagazine.com/news/ubs-plans-bitcoin-trading-for-clients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Cash2Bitcoin. https://cash2bitcoin.com/blog/bitcoin-hedge-against-inflation/</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Capgemini. https://www.capgemini.com/wp-content/uploads/2025/06/WWR_2025_9e4f8b.pdf</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iShares. https://www.ishares.com/us/insights/2025-etf-market-trends-record-flows</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CoinDesk. https://www.coindesk.com/markets/2025/12/18/u-s-bitcoin-etfs-see-strongest-inflows-for-over-a-month-as-btc-dominance-hits-60</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Bitpanda Blog. https://blog.bitpanda.com/en/introducing-bitpanda-wealth-our-new-service-high-net-worth-individuals-institutions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FT Channels. https://channels.ft.com/en/ft-wealth/crypto-demand-from-wealthy-clients/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HSBC Global Private Banking. https://www.privatebanking.hsbc.com/content/dam/privatebanking/gpb/uhnw/mena-family-office/HSBC%20Global%20Provate%20Banking%20-%20European%20Family%20Office%20Report%202024.pdf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Goldman Sachs. https://www.goldmansachs.com/pdfs/insights/articles/adapting-to-the-terrain/family-office-investment-insights-report.pdf</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Citi Private Bank. https://www.privatebank.citibank.com/doc/family-office/2025-global-family-office-report.pdf</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iqpc.com. https://eco-cdn.iqpc.com/eco/files/presentations/1130am-julian-liniger-co-founder-ceo-relai-agHk1W3COoMv59pL7Pligl5uC8rlTXQzR9ThL6FAVs.pdf</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verifiedmarketreports.com. https://www.verifiedmarketreports.com/product/bitcoin-loan-market/</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Dataintelo. https://dataintelo.com/report/crypto-backed-lending-market</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Relai. https://relai.app/blog/relai-private-sygnum-bitcoin-loans/</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dotfile.com. https://www.dotfile.com/resources/crypto-regulation-what-you-should-know-about-mica</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bitgo.com. https://www.bitgo.com/resources/blog/bitcoins-invisible-burn-lost-coins-outpace-new-supply/</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ledn.io. https://www.ledn.io/post/cryptocurrency-estate-planning</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strategicmarketresearch.com. https://www.strategicmarketresearch.com/market-report/digital-legacy-market</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Market.us. https://market.us/report/estate-planning-service-market/</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casa.io. https://casa.io/inheritance</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rhett.blog. https://www.rhett.blog/bitcoin-multisig-2024/</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Nunchuk. https://nunchuk.io/blog/bitcoin-inheritance-guide</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substack.com. https://insights4vc.substack.com/p/family-offices-and-crypto-2025</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Room Market Research Report 2033. https://marketintelo.com/report/cryptocurrency-education-market</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CryptoCurrency Certification Consortium (C4). https://cryptoconsortium.org/certifications/cbp/</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Dataintelo. https://dataintelo.com/report/cryptocurrency-education-market</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cyfrin.io. https://www.cyfrin.io/blog/mica-regulation-explained-a-guide-to-eu-crypto-compliance</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European Investment Bank. https://www.eib.org/files/publications/thematic/artificial_intelligence_blockchain_and_the_future_of_europe_report_en.pdf</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South African Reserve Bank. https://www.resbank.co.za/content/dam/sarb/what-we-do/payments-and-settlements/cross-border-payments-conference/documents/paper-cost-patterns-remittance.pdf</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binance.com. https://www.binance.com/en/square/post/7231966884706</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Market Research Future. https://www.marketresearchfuture.com/reports/cross-border-payments-market-22854</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fgveurope.de. https://www.fgveurope.de/wp-content/uploads/2025/02/Research-Study-Emily-Ekshian.pdf</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Remittance Prices Worldwide. https://remittanceprices.worldbank.org/sites/default/files/rpw_main_report_and_annex_q125_1_0.pdf</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gpfi.org. https://www.gpfi.org/sites/default/files/NEW%202024%20Update%20to%20Leaders%20on%20Progress%20Towards%20the%20G20%20Remittance%20Target.pdf</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Remittance Prices Worldwide. https://remittanceprices.worldbank.org/sites/default/files/rpw_main_report_and_annex_q224.pdf</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The Business Research Company. https://www.thebusinessresearchcompany.com/report/crypto-powered-remittances-global-market-report</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Mordor Intelligence. https://www.mordorintelligence.com/industry-reports/cross-border-payments-market</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OECD. https://www.oecd.org/content/dam/oecd/en/publications/reports/2020/04/can-blockchain-technology-reduce-the-cost-of-remittances_2722776e/d4d6ac8f-en.pdf</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Quantumrun. https://www.quantumrun.com/consulting/ledger-net-worth/</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The Block. https://www.theblock.co/post/330146/bitcoin-investment-app-relai-funding-valuation</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OneKey Wallet. https://onekey.so/blog/ecosystem/mica-no-kyc-self-custody-eu-traders/?srsltid=AfmBOoqk66CKSuqiQhj9CGbq50VLkHk8vXZ0nOFSLcdQvqwe6ybfzUlc</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B2Broker. https://b2broker.com/news/institutional-adoption-of-crypto/</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Business Research Insights. https://www.businessresearchinsights.com/market-reports/bitcoin-miner-market-120514</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Silicon Valley Bank. https://www.svb.com/industry-insights/fintech/bitcoin-product-era/</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acinq.co. https://acinq.co/</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nasdaq.com. https://view.news.eu.nasdaq.com/view?id=bece0c0095f465b07326ffad305855b54&amp;lang=en&amp;src=micro</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EY Law - Pelzmann Gall Größ Rechtsanwälte. https://www.eylaw.at/en/ey-law-advises-21bitcoin-on-2-1-million-euro-funding-round/</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yahoo.com. https://finance.yahoo.com/news/bitcoin-etfs-post-biggest-inflow-113215131.html</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PR Newswire. https://www.prnewswire.com/news-releases/trammell-venture-partners-launches-venture-capital-industrys-first-dedicated-bitcoin-native-institutional-investment-fund-series-301506080.html</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fundable.. https://www.tryfundable.ai/investor/stillmark</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Bitcoin Magazine. https://bitcoinmagazine.com/news/bitcoin-startups-raised-nearly-1-2-billion</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CRYPTO fundraising. https://crypto-fundraising.info/blog/2025-crypto-fundraising-report/</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21energy.com. https://21energy.com/pages/press?srsltid=AfmBOorCZmGYEr4gTVGpni1HeYW69vpvDSA-qPwn0wiUcnp0x9sNLJ7H</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Human Rights Foundation. https://hrf.org/latest/hrf-bitcoin-development-fund-grants-325000-to-12-projects-on-5-continents/</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链捕手ChainCatcher. https://www.chaincatcher.com/en/article/2227383</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klw-law.com. https://www.klw-law.com/secure-crypto-in-trusts</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Data Bridge Market Research. https://www.databridgemarketresearch.com/reports/global-cryptocurrency-mining-market?srsltid=AfmBOorN9Mgq6hERPV4eNH4zQTojT6cfUNeQhrxlz9MDGfEa4jELQSvw</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Quantumrun. https://www.quantumrun.com/consulting/trezor-net-worth/</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Crypto Briefing. https://cryptobriefing.com/ledger-ipo-plans-us-listing/</w:t>
      </w:r>
      <w:bookmarkEnd w:id="10122"/>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2026-05-29T10:14:49Z</dcterms:created>
  <dcterms:modified xsi:type="dcterms:W3CDTF">2026-05-29T10:14:49Z</dcterms:modified>
</cp:coreProperties>
</file>

<file path=docProps/custom.xml><?xml version="1.0" encoding="utf-8"?>
<Properties xmlns="http://schemas.openxmlformats.org/officeDocument/2006/custom-properties" xmlns:vt="http://schemas.openxmlformats.org/officeDocument/2006/docPropsVTypes"/>
</file>