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F7931A"/>
          <w:sz w:val="56"/>
          <w:szCs w:val="56"/>
        </w:rPr>
        <w:t xml:space="preserve">VIRTUSE HUB</w:t>
      </w:r>
    </w:p>
    <w:p>
      <w:pPr>
        <w:spacing w:after="160"/>
        <w:jc w:val="center"/>
      </w:pPr>
      <w:r>
        <w:rPr>
          <w:b/>
          <w:bCs/>
          <w:color w:val="1C2128"/>
          <w:sz w:val="30"/>
          <w:szCs w:val="30"/>
        </w:rPr>
        <w:t xml:space="preserve">Bitcoin-Only Services Hub — Market &amp; Growth Strategy</w:t>
      </w:r>
    </w:p>
    <w:p>
      <w:pPr>
        <w:spacing w:after="200"/>
        <w:jc w:val="center"/>
      </w:pPr>
      <w:r>
        <w:rPr>
          <w:color w:val="6B7280"/>
          <w:sz w:val="20"/>
          <w:szCs w:val="20"/>
        </w:rPr>
        <w:t xml:space="preserve">Market analysis · Problem landscape · Offer design · Growth system · Content strategy · Competitive positioning · Scale roadmap</w:t>
      </w:r>
    </w:p>
    <w:p>
      <w:pPr>
        <w:spacing w:after="60"/>
        <w:jc w:val="center"/>
      </w:pPr>
      <w:r>
        <w:rPr>
          <w:i/>
          <w:iCs/>
          <w:color w:val="6B7280"/>
          <w:sz w:val="18"/>
          <w:szCs w:val="18"/>
        </w:rPr>
        <w:t xml:space="preserve">Prepared 20 July 2026 · Virtuse Wealth Management, a.s. — Internal strategy draft</w:t>
      </w:r>
    </w:p>
    <w:p>
      <w:pPr>
        <w:spacing w:after="400"/>
        <w:jc w:val="center"/>
      </w:pPr>
      <w:r>
        <w:rPr>
          <w:i/>
          <w:iCs/>
          <w:color w:val="6B7280"/>
          <w:sz w:val="18"/>
          <w:szCs w:val="18"/>
        </w:rPr>
        <w:t xml:space="preserve">Grounded in internal research (Bitcoin Europe Market Analysis, Chapters 1–4). Business-strategy analysis, not investment advice. Figures marked (est.) are directional estimates.</w:t>
      </w:r>
    </w:p>
    <w:p>
      <w:pPr>
        <w:pStyle w:val="Heading1"/>
        <w:spacing w:after="160" w:before="360"/>
      </w:pPr>
      <w:r>
        <w:rPr>
          <w:color w:val="1C2128"/>
        </w:rPr>
        <w:t xml:space="preserve">1 · Market Analysis</w:t>
      </w:r>
    </w:p>
    <w:p>
      <w:pPr>
        <w:pStyle w:val="Heading2"/>
        <w:spacing w:after="120" w:before="240"/>
      </w:pPr>
      <w:r>
        <w:rPr>
          <w:color w:val="1C2128"/>
        </w:rPr>
        <w:t xml:space="preserve">TAM / SAM / SOM — for the hub / referral 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2600"/>
        <w:gridCol w:w="2600"/>
      </w:tblGrid>
      <w:tr>
        <w:trPr>
          <w:tblHeader/>
        </w:trPr>
        <w:tc>
          <w:tcPr>
            <w:tcW w:type="dxa" w:w="9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9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6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26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TAM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European Bitcoin-services economy (exchange, custody hardware, mining hosting, lending, tax, education)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$8.7–11.3B / yr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50M+ EU crypto users, 38% BTC dominance, $250B fiat-crypto volume (internal research)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SAM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Referral-monetizable segments the hub lists, EU + EN/SK reachable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$1.5–2B service revenue → $45–90M / yr commission pool (est. 1.5–3% blended take rate)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HW wallets $150–200M, SW wallets $859M, mining hosting $300M, lending to $5.2B by 2033, tax/education $135M+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SOM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Realistic hub capture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Y1 €150–400K · Y2 €0.8–1.5M · Y3 €3–6M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100K–1M monthly visitors × 1–3% referral conversion × €40–120 avg. commission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Key structural insight: </w:t>
      </w:r>
      <w:r>
        <w:rPr>
          <w:sz w:val="22"/>
          <w:szCs w:val="22"/>
        </w:rPr>
        <w:t xml:space="preserve">the hub earns a take-rate on other companies’ regulated revenue — capital-light and license-light, but wholly dependent on keeping audience acquisition cost below ~€2–4 per engaged visitor.</w:t>
      </w:r>
    </w:p>
    <w:p>
      <w:pPr>
        <w:pStyle w:val="Heading2"/>
        <w:spacing w:after="120" w:before="240"/>
      </w:pPr>
      <w:r>
        <w:rPr>
          <w:color w:val="1C2128"/>
        </w:rPr>
        <w:t xml:space="preserve">Top 5 trends shaping demand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00"/>
        <w:gridCol w:w="3000"/>
      </w:tblGrid>
      <w:tr>
        <w:trPr>
          <w:tblHeader/>
        </w:trPr>
        <w:tc>
          <w:tcPr>
            <w:tcW w:type="dxa" w:w="5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35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30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Hub implication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Post-MiCA regulatory sorting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50+ CASPs losing licenses; users migrating to the licensed few + non-custodial tools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Curation layer gains value as choice concentrates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Self-custody migration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58% of EU users non-custodial; 100–120K BTC/mo exchange outflows; hardware sales +31% YoY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Custody page + education = highest-trust entry point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Lightning payment rails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266% YoY volume growth; Strike / Revolut EU rollouts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Future category page; early SEO land-grab available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Institutional normalization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EU banks entering; ETP AUM tripled; first UK pension allocation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Treasury page serves an audience nobody covers in EN+SK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Sovereign-individual hedging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46% use crypto as inflation hedge; EU family-office adoption lowest globally (14%) = most headroom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Wealth-protection angle matches the editorial voice</w:t>
            </w:r>
          </w:p>
        </w:tc>
      </w:tr>
    </w:tbl>
    <w:p>
      <w:pPr>
        <w:pStyle w:val="Heading2"/>
        <w:spacing w:after="120" w:before="240"/>
      </w:pPr>
      <w:r>
        <w:rPr>
          <w:color w:val="1C2128"/>
        </w:rPr>
        <w:t xml:space="preserve">Five underserved opportunities (ranked by fit with a license-free 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Comparison-first aggregation in native languages — no “NerdWallet of Bitcoin” for CEE; SK/CZ/PL/HU have zero quality comparison layers.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Bitcoin inheritance education — 2.3–4M BTC lost to poor estate planning; no EU-native content leader; monetizes via courses + custody referrals with zero licensing.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Bitcoin-only education / certification — €870M EU crypto-education market with no Bitcoin-only certification; digital product = 90%+ margin.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SMB treasury playbooks — content and tooling for small companies allocating cash to BTC via licensed partners; the sub-institutional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Data-tools-as-distribution — free calculators and charts (already built) as permanent SEO / link magnets.</w:t>
      </w:r>
    </w:p>
    <w:p>
      <w:pPr>
        <w:pStyle w:val="Heading2"/>
        <w:spacing w:after="120" w:before="240"/>
      </w:pPr>
      <w:r>
        <w:rPr>
          <w:color w:val="1C2128"/>
        </w:rPr>
        <w:t xml:space="preserve">Where money is already flowing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VC: Ledger $575M · Relai ~$24.4M · Bitstack ~$22M · Tangem $15M · ACINQ $10M — $700M+ tracked into EU Bitcoin-only firms.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Funds: Ego Death Capital $100M Fund II; Trammell Venture Partners — explicitly Bitcoin-only theses.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Grants: OpenSats ~$1M/month; HRF $1.8M+ — durable builder ecosystem.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Revenue proof: Ledger $70.9M → $150–200M projected; Trezor $47.2M; Bitstack 10× revenue in 2 years; Relai +300% users YoY.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Read-through: capital concentrates in self-custody hardware and simple accumulation apps — the hub’s two first-monetized categories.</w:t>
      </w:r>
    </w:p>
    <w:p>
      <w:pPr>
        <w:pStyle w:val="Heading1"/>
        <w:spacing w:after="160" w:before="360"/>
      </w:pPr>
      <w:r>
        <w:rPr>
          <w:color w:val="1C2128"/>
        </w:rPr>
        <w:t xml:space="preserve">2 · Top 10 Problems — Ranked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100"/>
        <w:gridCol w:w="1800"/>
        <w:gridCol w:w="1500"/>
        <w:gridCol w:w="1600"/>
      </w:tblGrid>
      <w:tr>
        <w:trPr>
          <w:tblHeader/>
        </w:trPr>
        <w:tc>
          <w:tcPr>
            <w:tcW w:type="dxa" w:w="6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4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11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Urgency /10</w:t>
            </w:r>
          </w:p>
        </w:tc>
        <w:tc>
          <w:tcPr>
            <w:tcW w:type="dxa" w:w="18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Willingness to pay</w:t>
            </w:r>
          </w:p>
        </w:tc>
        <w:tc>
          <w:tcPr>
            <w:tcW w:type="dxa" w:w="15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Growth</w:t>
            </w:r>
          </w:p>
        </w:tc>
        <w:tc>
          <w:tcPr>
            <w:tcW w:type="dxa" w:w="16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Complaint volume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Inheritance / “what if I die”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(€500–5K)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Fastest — aging holder base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— every conference Q&amp;A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Tax reporting chaos across EU states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(€40–700/yr proven)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 (DAC8 incoming)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Very high — seasonal spikes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Custody fear (self-custody mistakes)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(hardware + courses)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— loss stories go viral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Exchange trust deficit post-FTX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(pay via switching)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Very high — loudest category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Fee opacity / hidden spreads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— “I paid 4% unknowingly”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Fragmented, low-trust information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Low direct, high indirect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— “who do I trust?”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KYC fatigue / privacy erosion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(privacy tools)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Fastest (travel rule)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in hardcore segment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Mining complexity for retail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per capita (€3–50K)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— niche but monied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Idle BTC / no yield without risk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(lending fees)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— burned by Celsius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 hostility to crypto flows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— country-specific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Sweet spot = problems 1, 2, 3: </w:t>
      </w:r>
      <w:r>
        <w:rPr>
          <w:sz w:val="22"/>
          <w:szCs w:val="22"/>
        </w:rPr>
        <w:t xml:space="preserve">high urgency × proven willingness to pay × zero licensing to serve (education, tools, referrals).</w:t>
      </w:r>
    </w:p>
    <w:p>
      <w:pPr>
        <w:pStyle w:val="Heading1"/>
        <w:spacing w:after="160" w:before="360"/>
      </w:pPr>
      <w:r>
        <w:rPr>
          <w:color w:val="1C2128"/>
        </w:rPr>
        <w:t xml:space="preserve">3 · High-Converting Offer — Landing Page Structure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ICP: </w:t>
      </w:r>
      <w:r>
        <w:rPr>
          <w:sz w:val="22"/>
          <w:szCs w:val="22"/>
        </w:rPr>
        <w:t xml:space="preserve">European “sovereignty-minded stacker,” 30–55, holding (or intending) €10K–500K in BTC; distrusts banks and exchanges; time-poor; often non-native English; two core fears — losing coins and the taxman.</w:t>
      </w:r>
    </w:p>
    <w:p>
      <w:pPr>
        <w:pStyle w:val="Heading2"/>
        <w:spacing w:after="120" w:before="240"/>
      </w:pPr>
      <w:r>
        <w:rPr>
          <w:color w:val="1C2128"/>
        </w:rPr>
        <w:t xml:space="preserve">Hero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H1: </w:t>
      </w:r>
      <w:r>
        <w:rPr>
          <w:sz w:val="22"/>
          <w:szCs w:val="22"/>
        </w:rPr>
        <w:t xml:space="preserve">“Everything Bitcoin. Nothing else. One trusted hub.”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Sub: </w:t>
      </w:r>
      <w:r>
        <w:rPr>
          <w:sz w:val="22"/>
          <w:szCs w:val="22"/>
        </w:rPr>
        <w:t xml:space="preserve">Vetted, licensed partners for buying, securing, mining and borrowing — plus the tools and playbooks to never lose a sat to fees, hacks, or inheritance chaos.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CTA: </w:t>
      </w:r>
      <w:r>
        <w:rPr>
          <w:sz w:val="22"/>
          <w:szCs w:val="22"/>
        </w:rPr>
        <w:t xml:space="preserve">[Explore the Hub — Free] · Trust bar: partner logos + “18,000+ readers”.</w:t>
      </w:r>
    </w:p>
    <w:p>
      <w:pPr>
        <w:pStyle w:val="Heading2"/>
        <w:spacing w:after="120" w:before="240"/>
      </w:pPr>
      <w:r>
        <w:rPr>
          <w:color w:val="1C2128"/>
        </w:rPr>
        <w:t xml:space="preserve">Problem section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Three cards: “Which exchange won’t rug me?” · “What happens to my BTC when I die?” · “What do I owe the taxman?”</w:t>
      </w:r>
    </w:p>
    <w:p>
      <w:pPr>
        <w:pStyle w:val="Heading2"/>
        <w:spacing w:after="120" w:before="240"/>
      </w:pPr>
      <w:r>
        <w:rPr>
          <w:color w:val="1C2128"/>
        </w:rPr>
        <w:t xml:space="preserve">Solution — three pillars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Curated licensed partners (we vet, you verify).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Free live tools — dashboard, retirement calculator, rainbow chart, 200 WMA, dominance.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The Virtuse Report — weekly signal, zero noise.</w:t>
      </w:r>
    </w:p>
    <w:p>
      <w:pPr>
        <w:pStyle w:val="Heading2"/>
        <w:spacing w:after="120" w:before="240"/>
      </w:pPr>
      <w:r>
        <w:rPr>
          <w:color w:val="1C2128"/>
        </w:rPr>
        <w:t xml:space="preserve">Pricing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rPr>
          <w:tblHeader/>
        </w:trPr>
        <w:tc>
          <w:tcPr>
            <w:tcW w:type="dxa" w:w="24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52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€0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entire hub, all tools, weekly newsletter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STACKER — “Sovereign Stack”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€149 / yr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Self-custody masterclass (EN/SK) · inheritance-planning templates · tax-season walkthroughs · members community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PREMIUM — “Generational”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€999 / yr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Small-group onboarding sprints · multisig &amp; estate deep-dives · direct Q&amp;A calls · partner fast-lanes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All paid tiers are education and tooling only — no personalized investment advice, no custody, no execution → no MiCA or other financial-licensing trigger.</w:t>
      </w:r>
    </w:p>
    <w:p>
      <w:pPr>
        <w:pStyle w:val="Heading2"/>
        <w:spacing w:after="120" w:before="240"/>
      </w:pPr>
      <w:r>
        <w:rPr>
          <w:color w:val="1C2128"/>
        </w:rPr>
        <w:t xml:space="preserve">Guarantee + risk reversal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30-day, no-questions refund on paid tiers.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Vetting promise: any listed partner losing its license is delisted within 48 hours; members alerted same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No custody ever — your coins are never our risk to lose.</w:t>
      </w:r>
    </w:p>
    <w:p>
      <w:pPr>
        <w:pStyle w:val="Heading2"/>
        <w:spacing w:after="120" w:before="240"/>
      </w:pPr>
      <w:r>
        <w:rPr>
          <w:color w:val="1C2128"/>
        </w:rPr>
        <w:t xml:space="preserve">Why this beats competitors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Swan / River: US-only, custodial, licensed brokers.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Random affiliate blogs: shitcoin-monetized, zero vetting.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Bitbo / data sites: charts with no path to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Virtuse: the only EU-native, Bitcoin-only, non-custodial hub combining curation + tools + 8 years of editorial trust (858 articles).</w:t>
      </w:r>
    </w:p>
    <w:p>
      <w:pPr>
        <w:pStyle w:val="Heading1"/>
        <w:spacing w:after="160" w:before="360"/>
      </w:pPr>
      <w:r>
        <w:rPr>
          <w:color w:val="1C2128"/>
        </w:rPr>
        <w:t xml:space="preserve">4 · Growth System — 1M People in 30 Days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Leverage thesis: </w:t>
      </w:r>
      <w:r>
        <w:rPr>
          <w:sz w:val="22"/>
          <w:szCs w:val="22"/>
        </w:rPr>
        <w:t xml:space="preserve">don’t create reach — rent and redirect existing Bitcoin attention pools, and let free tools compound.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4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4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Reach mechanics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X / Twitter (founder authority)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data-driven threads from the live dashboard; EU regulation hot-takes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Strategic replies on large accounts harvest free impressions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Newsletter sponsorships / swaps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Ads + cross-promos in EU Bitcoin newsletters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Cheapest qualified reach: €20–50 CPM; ~€10K buys 300–500K impressions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Short-form video (TikTok / Reels / Shorts)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30–60s: “Rainbow chart says…”, inheritance horror stories, fee exposés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Highest ceiling; SK-language versions face zero competition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SEO + tool embeds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Calculator / chart pages; embeddable widgets with backlink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Permanent compounding; calculator queries are winnable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Podcast circuit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Founder guest slots on EU/CEE Bitcoin &amp; finance podcasts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Authority transfer; evergreen reach per episode</w:t>
            </w:r>
          </w:p>
        </w:tc>
      </w:tr>
    </w:tbl>
    <w:p>
      <w:pPr>
        <w:pStyle w:val="Heading2"/>
        <w:spacing w:after="120" w:before="240"/>
      </w:pPr>
      <w:r>
        <w:rPr>
          <w:color w:val="1C2128"/>
        </w:rPr>
        <w:t xml:space="preserve">Daily execution plan (weekly cycle)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Daily (60–90 min): 1 data post + 10 strategic replies on X · 1 short-form clip (batch-filmed Mondays) · newsletter CTA everywhere.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Mon: film 5–7 shorts · Tue: long-form blog post (WordPress feeds the site automatically) · Wed: newsletter + cross-promo send · Thu: chart-driven thread of the week · Fri: SK versions of the week’s winners · Weekend: podcast recordings.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Paid mix ≈ 70/30 organic:paid — €8–12K into newsletter sponsorships + X promoted posts. Meta/Google crypto policies make them unreliable; do not build on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30-day math: X 400–600K + shorts 200–400K + newsletter buys 300–500K + podcasts/SEO 100K ≈ 1M+ cumulative reach; target 10–15K new subscribers.</w:t>
      </w:r>
    </w:p>
    <w:p>
      <w:pPr>
        <w:pStyle w:val="Heading1"/>
        <w:spacing w:after="160" w:before="360"/>
      </w:pPr>
      <w:r>
        <w:rPr>
          <w:color w:val="1C2128"/>
        </w:rPr>
        <w:t xml:space="preserve">5 · Viral Content Strategy</w:t>
      </w:r>
    </w:p>
    <w:p>
      <w:pPr>
        <w:pStyle w:val="Heading2"/>
        <w:spacing w:after="120" w:before="240"/>
      </w:pPr>
      <w:r>
        <w:rPr>
          <w:color w:val="1C2128"/>
        </w:rPr>
        <w:t xml:space="preserve">Twenty high-converting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“4 million Bitcoin are lost forever. Here’s how yours joins them.”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“Your exchange isn’t a bank. It’s a counterparty.”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“The 200-week moving average has never lied. It’s speaking now.”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“I paid €412 in hidden fees buying Bitcoin. You probably did too.”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“MiCA just killed 50+ crypto companies. Good.”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“Your heirs can’t inherit what they can’t find.”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“Banks entered Bitcoin the same year they told you not to.”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“€60K/year retirement, funded by 0.35 BTC. Here’s the math.”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“The rainbow chart called every top since 2013. Where are we now?”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“Slovakia has 0% tax on long-held Bitcoin. Almost nobody knows.”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“Stop asking the price. Ask the multiple of the floor.”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“Fidelity custody or 12 words in your head — pick your poison.”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“The Digital Euro isn’t money. It’s permission.”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“Every cycle, retail sells the bottom band. Every cycle.”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“Your seed phrase will outlive your exchange. Statistically.”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“Mining pays daily. Your savings account pays excuses.”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“The safest Bitcoin company is the one that never touches your coins.”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“858 articles later, one conclusion: fix the money.”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“What Rome’s collapse teaches about the euro (thread).”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“Dominance at 56% means one thing for altcoin bags.”</w:t>
      </w:r>
    </w:p>
    <w:p>
      <w:pPr>
        <w:pStyle w:val="Heading2"/>
        <w:spacing w:after="120" w:before="240"/>
      </w:pPr>
      <w:r>
        <w:rPr>
          <w:color w:val="1C2128"/>
        </w:rPr>
        <w:t xml:space="preserve">Ten content formats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Data-chart screenshot + one-liner · 60s calculator walkthrough · loss-story mini-doc · fee comparison table · myth-vs-math carousel · “chart says” weekly video · SK-dubbed clips · founder POV talking-head · partner deep-review · live-dashboard GIFs.</w:t>
      </w:r>
    </w:p>
    <w:p>
      <w:pPr>
        <w:pStyle w:val="Heading2"/>
        <w:spacing w:after="120" w:before="240"/>
      </w:pPr>
      <w:r>
        <w:rPr>
          <w:color w:val="1C2128"/>
        </w:rPr>
        <w:t xml:space="preserve">Emotional triggers &amp; share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Fear (loss, inheritance, confiscation) → drives saves.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Status (sovereign, early, informed) → drives shares.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Curiosity (specific numbers in hooks: 0.35 BTC, €412) → drives clicks.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Why it spreads: every piece carries a portable artifact — a chart, a number, a rule of thumb — that makes the sharer look smart. The sharer’s status is the product.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Repeatable framework: </w:t>
      </w:r>
      <w:r>
        <w:rPr>
          <w:sz w:val="22"/>
          <w:szCs w:val="22"/>
        </w:rPr>
        <w:t xml:space="preserve">LIVE DATA → sharp claim → visual proof → one actionable rule → tool link. Rinse daily; the dashboard generates infinite raw material.</w:t>
      </w:r>
    </w:p>
    <w:p>
      <w:pPr>
        <w:pStyle w:val="Heading1"/>
        <w:spacing w:after="160" w:before="360"/>
      </w:pPr>
      <w:r>
        <w:rPr>
          <w:color w:val="1C2128"/>
        </w:rPr>
        <w:t xml:space="preserve">6 · Competitor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700"/>
        <w:gridCol w:w="2000"/>
      </w:tblGrid>
      <w:tr>
        <w:trPr>
          <w:tblHeader/>
        </w:trPr>
        <w:tc>
          <w:tcPr>
            <w:tcW w:type="dxa" w:w="15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9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Best at</w:t>
            </w:r>
          </w:p>
        </w:tc>
        <w:tc>
          <w:tcPr>
            <w:tcW w:type="dxa" w:w="19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Weak at</w:t>
            </w:r>
          </w:p>
        </w:tc>
        <w:tc>
          <w:tcPr>
            <w:tcW w:type="dxa" w:w="17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Ignored audience</w:t>
            </w:r>
          </w:p>
        </w:tc>
        <w:tc>
          <w:tcPr>
            <w:tcW w:type="dxa" w:w="2000"/>
            <w:shd w:fill="1C21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 for Virtuse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Swan Bitcoin (US)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Education-led brokerage, brand voice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US-only, custodial, licensing burden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Entire EU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Be “EU’s Swan” without touching custody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River (US)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polish, Lightning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US-only, licensed, thin content moat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EU + non-English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Their polish is the standard to copy in a market they cannot enter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Relai / 21bitcoin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Simple DACH accumulation apps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Single-product, no ecosystem or content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needing mining/lending/tax/estate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They are partners, not rivals — the hub sits above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Bitbo / Clark Moody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tools, SEO traffic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path to action, weak monetization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Anyone ready to act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Tools + curated next step = full funnel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99Bitcoins-style affiliate sites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SEO volume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Shitcoin-monetized, zero trust, no POV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Bitcoin-only maximalist money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Trust + Bitcoin-only purity is the moat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Domination path: </w:t>
      </w:r>
      <w:r>
        <w:rPr>
          <w:sz w:val="22"/>
          <w:szCs w:val="22"/>
        </w:rPr>
        <w:t xml:space="preserve">own the intersection nobody occupies — (EU + native languages) × (Bitcoin-only) × (non-custodial) × (data tools + editorial). Every competitor holds at most two of the four. Deepen SK/CEE first, then replicate the language playbook (DE, PL, CZ) — the site’s language architecture already supports one-config-entry expansion.</w:t>
      </w:r>
    </w:p>
    <w:p>
      <w:pPr>
        <w:pStyle w:val="Heading1"/>
        <w:spacing w:after="160" w:before="360"/>
      </w:pPr>
      <w:r>
        <w:rPr>
          <w:color w:val="1C2128"/>
        </w:rPr>
        <w:t xml:space="preserve">7 · Scale Roadmap — to ≈ €110K / Month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Revenue composition at target: </w:t>
      </w:r>
      <w:r>
        <w:rPr>
          <w:sz w:val="22"/>
          <w:szCs w:val="22"/>
        </w:rPr>
        <w:t xml:space="preserve">referrals €55K (≈700 conversions) + paid tiers €35K (≈2,800 Stacker + 150 Premium) + sponsorships €20K.</w:t>
      </w:r>
    </w:p>
    <w:p>
      <w:pPr>
        <w:pStyle w:val="Heading2"/>
        <w:spacing w:after="120" w:before="240"/>
      </w:pPr>
      <w:r>
        <w:rPr>
          <w:color w:val="1C2128"/>
        </w:rPr>
        <w:t xml:space="preserve">Phase 1 (months 1–3) — automate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Affiliate link tracking + attribution dashboard (attribution leakage is the classic hub-killer).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Content pipeline: WordPress → site → auto-generated social snippets.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Email automation: welcome sequence → segmentation → tier upsell.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Daily data-post generation scripted from the live dashboard.</w:t>
      </w:r>
    </w:p>
    <w:p>
      <w:pPr>
        <w:pStyle w:val="Heading2"/>
        <w:spacing w:after="120" w:before="240"/>
      </w:pPr>
      <w:r>
        <w:rPr>
          <w:color w:val="1C2128"/>
        </w:rPr>
        <w:t xml:space="preserve">Phase 2 (months 3–6) — delegate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Short-form editing + SK/CZ localization (contractors, ~€2K/mo).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Partnership operations: outreach, renewals, payout reconciliation (first hire’s job).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Community moderation for paid tiers.</w:t>
      </w:r>
    </w:p>
    <w:p>
      <w:pPr>
        <w:pStyle w:val="Heading2"/>
        <w:spacing w:after="120" w:before="240"/>
      </w:pPr>
      <w:r>
        <w:rPr>
          <w:color w:val="1C2128"/>
        </w:rPr>
        <w:t xml:space="preserve">Systems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Partner scorecard with license-status monitoring — feeds the 48-hour delist guarantee.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SEO content factory: one tool page + four supporting articles per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Quarterly LTV/CAC review per channel; single revenue dashboard.</w:t>
      </w:r>
    </w:p>
    <w:p>
      <w:pPr>
        <w:pStyle w:val="Heading2"/>
        <w:spacing w:after="120" w:before="240"/>
      </w:pPr>
      <w:r>
        <w:rPr>
          <w:color w:val="1C2128"/>
        </w:rPr>
        <w:t xml:space="preserve">Hiring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① Content/growth lead (month 2) → ② Partnerships manager (month 4) → ③ SEO/data engineer (month 6) → ④ Community manager (month 8) → ⑤ Country lead DE or PL (month 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Founder exits daily content by month 6 — batch-recorded, team-distributed.</w:t>
      </w:r>
    </w:p>
    <w:p>
      <w:pPr>
        <w:pStyle w:val="Heading2"/>
        <w:spacing w:after="120" w:before="240"/>
      </w:pPr>
      <w:r>
        <w:rPr>
          <w:color w:val="1C2128"/>
        </w:rPr>
        <w:t xml:space="preserve">Bottlenecks that will appear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Attribution leakage — users research on the hub, sign up directly; mitigate with exclusive bonuses (“1 month free hosting via Virtuse”).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Partner payout terms — 60–90 day settlements strangle cash flow; negotiate monthly.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Ad-platform crypto policies — never build the plan on Meta/Google.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Key-person risk — the brand is the founder until systemized voice guidelines exist.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EU consumer/marketing compliance — affiliate disclosure rules apply even without financial licenses.</w:t>
      </w:r>
    </w:p>
    <w:p>
      <w:pPr>
        <w:pStyle w:val="Heading1"/>
        <w:spacing w:after="160" w:before="360"/>
      </w:pPr>
      <w:r>
        <w:rPr>
          <w:color w:val="1C2128"/>
        </w:rPr>
        <w:t xml:space="preserve">Licensing Position (No MiCA Required)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plan requires no MiCA or other financial license because the business never: holds client funds or keys, executes or routes orders, provides custody, transmits payments, or gives personalized investment advice. Revenue = marketing referrals + education products + sponsorships.</w:t>
      </w:r>
    </w:p>
    <w:p>
      <w:pPr>
        <w:pStyle w:val="Heading2"/>
        <w:spacing w:after="120" w:before="240"/>
      </w:pPr>
      <w:r>
        <w:rPr>
          <w:color w:val="1C2128"/>
        </w:rPr>
        <w:t xml:space="preserve">Three guardrails to keep it that 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Paid tiers stay strictly educational — no individualized “buy now” portfolio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Affiliate relationships are disclosed on every referral surface.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Lending-partner promotion follows consumer-credit marketing rules.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Recommended: counsel review of the paid-tier curriculum — the single line item that could drift toward regulated advice if worded carelessly.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40" w:before="120"/>
      </w:pPr>
      <w:r>
        <w:rPr>
          <w:b/>
          <w:bCs/>
          <w:color w:val="F7931A"/>
          <w:sz w:val="22"/>
          <w:szCs w:val="22"/>
        </w:rPr>
        <w:t xml:space="preserve">Strongest single move: the inheritance/estate wedge — highest urgency, highest willingness to pay, fastest-growing, zero licensing, and no incumbent in Europe. It can headline the Premium tier and the content calendar simultaneously.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C2128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F793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2026-07-20T16:12:16.665Z</dcterms:created>
  <dcterms:modified xsi:type="dcterms:W3CDTF">2026-07-20T16:12:16.665Z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