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b/>
          <w:color w:val="666666"/>
          <w:sz w:val="20"/>
        </w:rPr>
        <w:t>Team # 2026-UPC-XXXX | Problem [A/B]</w:t>
      </w:r>
    </w:p>
    <w:p>
      <w:pPr>
        <w:spacing w:before="240" w:after="240"/>
        <w:jc w:val="center"/>
      </w:pPr>
      <w:r>
        <w:rPr>
          <w:rFonts w:ascii="Times New Roman" w:hAnsi="Times New Roman"/>
          <w:b/>
          <w:color w:val="102A43"/>
          <w:sz w:val="36"/>
        </w:rPr>
        <w:t>[Paper Title: A Predictive and Dynamic Modeling Approach to ...]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8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02A43"/>
                <w:sz w:val="24"/>
              </w:rPr>
              <w:t>Executive Abstract</w:t>
            </w:r>
          </w:p>
          <w:p>
            <w:pPr>
              <w:spacing w:line="276" w:lineRule="auto" w:after="120"/>
            </w:pPr>
            <w:r>
              <w:rPr>
                <w:b/>
              </w:rPr>
              <w:t xml:space="preserve">[01 Research Objectives &amp; Core Difficulties (15%-20%)]: </w:t>
            </w:r>
            <w:r>
              <w:t xml:space="preserve">This study addresses the physical challenge of [Object/Phenomenon] under [Key Mechanism]. The central difficulty lies in [Nonlinearity / Variable Drag / Coupling]. </w:t>
            </w:r>
            <w:r>
              <w:rPr>
                <w:b/>
              </w:rPr>
              <w:t xml:space="preserve">[02 Model &amp; Computational Methods (25%-30%)]: </w:t>
            </w:r>
            <w:r>
              <w:t xml:space="preserve">We formulate a high-fidelity dynamic framework incorporating [ISA atmospheric model, supersonic drag crisis, zero-crossing event handling]. Numerical integration is executed via MATLAB ode113 coupled with fzero shooting algorithms. </w:t>
            </w:r>
            <w:r>
              <w:rPr>
                <w:b/>
              </w:rPr>
              <w:t xml:space="preserve">[03 Key Findings &amp; Quantitative Metrics (30%-40%)]: </w:t>
            </w:r>
            <w:r>
              <w:t xml:space="preserve">Under nominal baseline conditions, the optimal launch angle is determined to be 34.2 deg, yielding a maximum downrange of 2,418.5 m with terminal impact velocity of 142.3 m/s. Full-parameter sweeps reveal a non-monotonic sensitivity boundary. </w:t>
            </w:r>
            <w:r>
              <w:rPr>
                <w:b/>
              </w:rPr>
              <w:t xml:space="preserve">[04 Validation &amp; Practical Scope (15%-25%)]: </w:t>
            </w:r>
            <w:r>
              <w:t>The model is rigorously validated against zero-drag parabolic limits and published flight data, maintaining relative deviation under 3.2%. Operational boundaries and safety thresholds are explicitly established.</w:t>
            </w:r>
          </w:p>
          <w:p>
            <w:pPr>
              <w:spacing w:before="80"/>
            </w:pPr>
            <w:r>
              <w:rPr>
                <w:b/>
              </w:rPr>
              <w:t xml:space="preserve">Keywords: </w:t>
            </w:r>
            <w:r>
              <w:t>Atmospheric Trajectory Dynamics; Supersonic Drag Crisis; Event-driven Numerical ODE; Parameter Sensitivity</w:t>
            </w:r>
          </w:p>
        </w:tc>
      </w:tr>
    </w:tbl>
    <w:p/>
    <w:p>
      <w:pPr>
        <w:spacing w:before="280" w:after="80"/>
      </w:pPr>
      <w:r>
        <w:rPr>
          <w:rFonts w:ascii="Times New Roman" w:hAnsi="Times New Roman"/>
          <w:b/>
          <w:color w:val="102A43"/>
          <w:sz w:val="26"/>
        </w:rPr>
        <w:t>1.  Introduction</w:t>
      </w:r>
    </w:p>
    <w:p>
      <w:pPr>
        <w:spacing w:before="160" w:after="40"/>
      </w:pPr>
      <w:r>
        <w:rPr>
          <w:rFonts w:ascii="Times New Roman" w:hAnsi="Times New Roman"/>
          <w:b/>
          <w:color w:val="243B53"/>
          <w:sz w:val="23"/>
        </w:rPr>
        <w:t>1.1  Background and Physical Motivation</w:t>
      </w:r>
    </w:p>
    <w:p>
      <w:r>
        <w:t>Paragraph 1: State the physical object, macro phenomenon, and practical significance. Explain why this topic matters.</w:t>
        <w:br/>
        <w:t>Paragraph 2: Identify the critical research gap and technical difficulty—explain why naive elementary formulas (e.g. vacuum parabolas, constant drag, constant density) completely fail under real physical conditions.</w:t>
      </w:r>
    </w:p>
    <w:p>
      <w:pPr>
        <w:spacing w:before="160" w:after="40"/>
      </w:pPr>
      <w:r>
        <w:rPr>
          <w:rFonts w:ascii="Times New Roman" w:hAnsi="Times New Roman"/>
          <w:b/>
          <w:color w:val="243B53"/>
          <w:sz w:val="23"/>
        </w:rPr>
        <w:t>1.2  Problem Restatement &amp; Deliverable Breakdown</w:t>
      </w:r>
    </w:p>
    <w:p>
      <w:r>
        <w:t>Deconstruct the competition prompt into explicit, actionable scientific tasks. Clarify exactly what metrics must be calculated, predicted, optimized, or explained.</w:t>
      </w:r>
    </w:p>
    <w:p>
      <w:pPr>
        <w:spacing w:before="160" w:after="40"/>
      </w:pPr>
      <w:r>
        <w:rPr>
          <w:rFonts w:ascii="Times New Roman" w:hAnsi="Times New Roman"/>
          <w:b/>
          <w:color w:val="243B53"/>
          <w:sz w:val="23"/>
        </w:rPr>
        <w:t>1.3  Problem Analysis &amp; Physical Interaction Mechanism</w:t>
      </w:r>
    </w:p>
    <w:p>
      <w:r>
        <w:t>Explain how distinct physical mechanisms interact (e.g., velocity determines Reynolds/Mach numbers -&gt; alters drag coefficient -&gt; feeds back into deceleration rate -&gt; determines event triggers). Highlight primary vs secondary effects.</w:t>
      </w:r>
    </w:p>
    <w:p>
      <w:pPr>
        <w:spacing w:before="160" w:after="40"/>
      </w:pPr>
      <w:r>
        <w:rPr>
          <w:rFonts w:ascii="Times New Roman" w:hAnsi="Times New Roman"/>
          <w:b/>
          <w:color w:val="243B53"/>
          <w:sz w:val="23"/>
        </w:rPr>
        <w:t>1.4  Overview of Our Approach &amp; Roadmap</w:t>
      </w:r>
    </w:p>
    <w:p>
      <w:r>
        <w:t>Outline the progressive modeling workflow: from baseline Fermi estimation, to rigorous ODE state-space formulation, shooting solver implementation, parameter sensitivity sweep, and validation.</w:t>
      </w:r>
    </w:p>
    <w:p>
      <w:pPr>
        <w:spacing w:before="280" w:after="80"/>
      </w:pPr>
      <w:r>
        <w:rPr>
          <w:rFonts w:ascii="Times New Roman" w:hAnsi="Times New Roman"/>
          <w:b/>
          <w:color w:val="102A43"/>
          <w:sz w:val="26"/>
        </w:rPr>
        <w:t>2.  Assumptions, Parameters and Notations</w:t>
      </w:r>
    </w:p>
    <w:p>
      <w:pPr>
        <w:spacing w:before="160" w:after="40"/>
      </w:pPr>
      <w:r>
        <w:rPr>
          <w:rFonts w:ascii="Times New Roman" w:hAnsi="Times New Roman"/>
          <w:b/>
          <w:color w:val="243B53"/>
          <w:sz w:val="23"/>
        </w:rPr>
        <w:t>2.1  Model Assumptions and Physical Justifications</w:t>
      </w:r>
    </w:p>
    <w:p>
      <w:r>
        <w:t>• Assumption 1 [Point-mass / Rigid-body]: Description and physical justification for when this approximation holds.</w:t>
        <w:br/>
        <w:t>• Assumption 2 [Atmospheric Stratification]: Description and justification (e.g., altitude range &lt; 20 km justifies troposphere ISA standard).</w:t>
        <w:br/>
        <w:t>• Assumption 3 [Perturbation Truncation]: State explicitly what higher-order effects are neglected and why.</w:t>
      </w:r>
    </w:p>
    <w:p>
      <w:pPr>
        <w:spacing w:before="160" w:after="40"/>
      </w:pPr>
      <w:r>
        <w:rPr>
          <w:rFonts w:ascii="Times New Roman" w:hAnsi="Times New Roman"/>
          <w:b/>
          <w:color w:val="243B53"/>
          <w:sz w:val="23"/>
        </w:rPr>
        <w:t>2.2  Notations and Physical Dimensions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2E8F0"/>
          </w:tcPr>
          <w:p>
            <w:r>
              <w:rPr>
                <w:b/>
              </w:rPr>
              <w:t>Symbol</w:t>
            </w:r>
          </w:p>
        </w:tc>
        <w:tc>
          <w:tcPr>
            <w:tcW w:type="dxa" w:w="2340"/>
            <w:shd w:val="clear" w:color="auto" w:fill="E2E8F0"/>
          </w:tcPr>
          <w:p>
            <w:r>
              <w:rPr>
                <w:b/>
              </w:rPr>
              <w:t>Physical Meaning</w:t>
            </w:r>
          </w:p>
        </w:tc>
        <w:tc>
          <w:tcPr>
            <w:tcW w:type="dxa" w:w="2340"/>
            <w:shd w:val="clear" w:color="auto" w:fill="E2E8F0"/>
          </w:tcPr>
          <w:p>
            <w:r>
              <w:rPr>
                <w:b/>
              </w:rPr>
              <w:t>SI Unit</w:t>
            </w:r>
          </w:p>
        </w:tc>
        <w:tc>
          <w:tcPr>
            <w:tcW w:type="dxa" w:w="2340"/>
            <w:shd w:val="clear" w:color="auto" w:fill="E2E8F0"/>
          </w:tcPr>
          <w:p>
            <w:r>
              <w:rPr>
                <w:b/>
              </w:rPr>
              <w:t>Default Value / Range</w:t>
            </w:r>
          </w:p>
        </w:tc>
      </w:tr>
      <w:tr>
        <w:tc>
          <w:tcPr>
            <w:tcW w:type="dxa" w:w="2340"/>
          </w:tcPr>
          <w:p>
            <w:r>
              <w:t>m</w:t>
            </w:r>
          </w:p>
        </w:tc>
        <w:tc>
          <w:tcPr>
            <w:tcW w:type="dxa" w:w="2340"/>
          </w:tcPr>
          <w:p>
            <w:r>
              <w:t>Projectile mass</w:t>
            </w:r>
          </w:p>
        </w:tc>
        <w:tc>
          <w:tcPr>
            <w:tcW w:type="dxa" w:w="2340"/>
          </w:tcPr>
          <w:p>
            <w:r>
              <w:t>kg</w:t>
            </w:r>
          </w:p>
        </w:tc>
        <w:tc>
          <w:tcPr>
            <w:tcW w:type="dxa" w:w="2340"/>
          </w:tcPr>
          <w:p>
            <w:r>
              <w:t>5.0</w:t>
            </w:r>
          </w:p>
        </w:tc>
      </w:tr>
      <w:tr>
        <w:tc>
          <w:tcPr>
            <w:tcW w:type="dxa" w:w="2340"/>
          </w:tcPr>
          <w:p>
            <w:r>
              <w:t>v0</w:t>
            </w:r>
          </w:p>
        </w:tc>
        <w:tc>
          <w:tcPr>
            <w:tcW w:type="dxa" w:w="2340"/>
          </w:tcPr>
          <w:p>
            <w:r>
              <w:t>Initial launch velocity</w:t>
            </w:r>
          </w:p>
        </w:tc>
        <w:tc>
          <w:tcPr>
            <w:tcW w:type="dxa" w:w="2340"/>
          </w:tcPr>
          <w:p>
            <w:r>
              <w:t>m/s</w:t>
            </w:r>
          </w:p>
        </w:tc>
        <w:tc>
          <w:tcPr>
            <w:tcW w:type="dxa" w:w="2340"/>
          </w:tcPr>
          <w:p>
            <w:r>
              <w:t>250.0 - 450.0</w:t>
            </w:r>
          </w:p>
        </w:tc>
      </w:tr>
      <w:tr>
        <w:tc>
          <w:tcPr>
            <w:tcW w:type="dxa" w:w="2340"/>
          </w:tcPr>
          <w:p>
            <w:r>
              <w:t>theta</w:t>
            </w:r>
          </w:p>
        </w:tc>
        <w:tc>
          <w:tcPr>
            <w:tcW w:type="dxa" w:w="2340"/>
          </w:tcPr>
          <w:p>
            <w:r>
              <w:t>Launch elevation angle</w:t>
            </w:r>
          </w:p>
        </w:tc>
        <w:tc>
          <w:tcPr>
            <w:tcW w:type="dxa" w:w="2340"/>
          </w:tcPr>
          <w:p>
            <w:r>
              <w:t>rad / deg</w:t>
            </w:r>
          </w:p>
        </w:tc>
        <w:tc>
          <w:tcPr>
            <w:tcW w:type="dxa" w:w="2340"/>
          </w:tcPr>
          <w:p>
            <w:r>
              <w:t>10.0 - 75.0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color w:val="243B53"/>
          <w:sz w:val="23"/>
        </w:rPr>
        <w:t>2.3  Physical Constants and External Parameters</w:t>
      </w:r>
    </w:p>
    <w:p>
      <w:r>
        <w:t>Reference standard authoritative databases: CODATA 2022 constants, NASA planetary ephemeris, or US Standard Atmosphere 1976 tables.</w:t>
      </w:r>
    </w:p>
    <w:p>
      <w:pPr>
        <w:spacing w:before="280" w:after="80"/>
      </w:pPr>
      <w:r>
        <w:rPr>
          <w:rFonts w:ascii="Times New Roman" w:hAnsi="Times New Roman"/>
          <w:b/>
          <w:color w:val="102A43"/>
          <w:sz w:val="26"/>
        </w:rPr>
        <w:t>3.  Physical Analysis and Baseline Model</w:t>
      </w:r>
    </w:p>
    <w:p>
      <w:pPr>
        <w:spacing w:before="160" w:after="40"/>
      </w:pPr>
      <w:r>
        <w:rPr>
          <w:rFonts w:ascii="Times New Roman" w:hAnsi="Times New Roman"/>
          <w:b/>
          <w:color w:val="243B53"/>
          <w:sz w:val="23"/>
        </w:rPr>
        <w:t>3.1  Governing Physical Mechanisms</w:t>
      </w:r>
    </w:p>
    <w:p>
      <w:r>
        <w:t>First-principles formulation: Newton-Euler dynamics, energy/momentum conservation, thermodynamic heat balance, or modal oscillation.</w:t>
      </w:r>
    </w:p>
    <w:p>
      <w:pPr>
        <w:spacing w:before="160" w:after="40"/>
      </w:pPr>
      <w:r>
        <w:rPr>
          <w:rFonts w:ascii="Times New Roman" w:hAnsi="Times New Roman"/>
          <w:b/>
          <w:color w:val="243B53"/>
          <w:sz w:val="23"/>
        </w:rPr>
        <w:t>3.2  Baseline Model (Version 0.1 Closed-form / Ideal Case)</w:t>
      </w:r>
    </w:p>
    <w:p>
      <w:r>
        <w:t>Construct the simplest workable baseline model (e.g., ideal vacuum trajectory or linear Stokes drag). Establish the reference benchmark against which extended models are compared.</w:t>
      </w:r>
    </w:p>
    <w:p>
      <w:pPr>
        <w:spacing w:before="280" w:after="80"/>
      </w:pPr>
      <w:r>
        <w:rPr>
          <w:rFonts w:ascii="Times New Roman" w:hAnsi="Times New Roman"/>
          <w:b/>
          <w:color w:val="102A43"/>
          <w:sz w:val="26"/>
        </w:rPr>
        <w:t>4.  Core Numerical Model Construction and Solution</w:t>
      </w:r>
    </w:p>
    <w:p>
      <w:pPr>
        <w:spacing w:before="160" w:after="40"/>
      </w:pPr>
      <w:r>
        <w:rPr>
          <w:rFonts w:ascii="Times New Roman" w:hAnsi="Times New Roman"/>
          <w:b/>
          <w:color w:val="243B53"/>
          <w:sz w:val="23"/>
        </w:rPr>
        <w:t>4.1  First-Order State-Space Governing Equations</w:t>
      </w:r>
    </w:p>
    <w:p>
      <w:r>
        <w:t>Cast high-order differential equations into standard first-order state-space vector form dY/dt = F(t, Y). Explicitly state each state variable.</w:t>
      </w:r>
    </w:p>
    <w:p>
      <w:pPr>
        <w:spacing w:before="160" w:after="40"/>
      </w:pPr>
      <w:r>
        <w:rPr>
          <w:rFonts w:ascii="Times New Roman" w:hAnsi="Times New Roman"/>
          <w:b/>
          <w:color w:val="243B53"/>
          <w:sz w:val="23"/>
        </w:rPr>
        <w:t>4.2  Physical Sub-models and Aerodynamic Coupling</w:t>
      </w:r>
    </w:p>
    <w:p>
      <w:r>
        <w:t>Detail sub-models: ISA temperature/pressure/density profiles, Sutherland dynamic viscosity, Mach-dependent drag crisis Cd(M), and wind velocity vectors.</w:t>
      </w:r>
    </w:p>
    <w:p>
      <w:pPr>
        <w:spacing w:before="160" w:after="40"/>
      </w:pPr>
      <w:r>
        <w:rPr>
          <w:rFonts w:ascii="Times New Roman" w:hAnsi="Times New Roman"/>
          <w:b/>
          <w:color w:val="243B53"/>
          <w:sz w:val="23"/>
        </w:rPr>
        <w:t>4.3  Event Detection and Boundary Truncation</w:t>
      </w:r>
    </w:p>
    <w:p>
      <w:r>
        <w:t>Specify precise zero-crossing event functions (odeset Events) for ground impact, parachute deployment, or threshold crossings to avoid arbitrary end-time guesswork.</w:t>
      </w:r>
    </w:p>
    <w:p>
      <w:pPr>
        <w:spacing w:before="160" w:after="40"/>
      </w:pPr>
      <w:r>
        <w:rPr>
          <w:rFonts w:ascii="Times New Roman" w:hAnsi="Times New Roman"/>
          <w:b/>
          <w:color w:val="243B53"/>
          <w:sz w:val="23"/>
        </w:rPr>
        <w:t>4.4  Numerical Solver Selection and Reverse Shooting Algorithm</w:t>
      </w:r>
    </w:p>
    <w:p>
      <w:r>
        <w:t>Justify algorithm selection (ode113 Adams-Bashforth-Moulton vs ode45 vs ode15s). Detail fzero / fmincon shooting formulations for boundary-value inversion.</w:t>
      </w:r>
    </w:p>
    <w:p>
      <w:pPr>
        <w:spacing w:before="280" w:after="80"/>
      </w:pPr>
      <w:r>
        <w:rPr>
          <w:rFonts w:ascii="Times New Roman" w:hAnsi="Times New Roman"/>
          <w:b/>
          <w:color w:val="102A43"/>
          <w:sz w:val="26"/>
        </w:rPr>
        <w:t>5.  Simulation Results and Discussion</w:t>
      </w:r>
    </w:p>
    <w:p>
      <w:pPr>
        <w:spacing w:before="160" w:after="40"/>
      </w:pPr>
      <w:r>
        <w:rPr>
          <w:rFonts w:ascii="Times New Roman" w:hAnsi="Times New Roman"/>
          <w:b/>
          <w:color w:val="243B53"/>
          <w:sz w:val="23"/>
        </w:rPr>
        <w:t>5.1  Nominal Baseline Trajectory and Key Metrics</w:t>
      </w:r>
    </w:p>
    <w:p>
      <w:r>
        <w:t>[Insert Figure: 3D Trajectory &amp; Shadow Projection (300 DPI)]</w:t>
        <w:br/>
        <w:t>State explicit quantitative results: apex altitude, flight duration, impact coordinate, and energy dissipation.</w:t>
      </w:r>
    </w:p>
    <w:p>
      <w:pPr>
        <w:spacing w:before="160" w:after="40"/>
      </w:pPr>
      <w:r>
        <w:rPr>
          <w:rFonts w:ascii="Times New Roman" w:hAnsi="Times New Roman"/>
          <w:b/>
          <w:color w:val="243B53"/>
          <w:sz w:val="23"/>
        </w:rPr>
        <w:t>5.2  Full-Parameter Sensitivity Sweep and Phase Heatmaps</w:t>
      </w:r>
    </w:p>
    <w:p>
      <w:r>
        <w:t>[Insert Figure: 2D Contour Heatmap of Range vs Velocity &amp; Angle]</w:t>
        <w:br/>
        <w:t>Identify ridge of optimality, monotonic trends, and saturation thresholds.</w:t>
      </w:r>
    </w:p>
    <w:p>
      <w:pPr>
        <w:spacing w:before="160" w:after="40"/>
      </w:pPr>
      <w:r>
        <w:rPr>
          <w:rFonts w:ascii="Times New Roman" w:hAnsi="Times New Roman"/>
          <w:b/>
          <w:color w:val="243B53"/>
          <w:sz w:val="23"/>
        </w:rPr>
        <w:t>5.3  Stochastic Dispersion and Uncertainty Analysis</w:t>
      </w:r>
    </w:p>
    <w:p>
      <w:r>
        <w:t>[Insert Figure: Monte Carlo 95% Confidence Dispersion Ellipse]</w:t>
        <w:br/>
        <w:t>Report standard deviations, Circular Error Probable (CEP), and impact probability within target zone.</w:t>
      </w:r>
    </w:p>
    <w:p>
      <w:pPr>
        <w:spacing w:before="280" w:after="80"/>
      </w:pPr>
      <w:r>
        <w:rPr>
          <w:rFonts w:ascii="Times New Roman" w:hAnsi="Times New Roman"/>
          <w:b/>
          <w:color w:val="102A43"/>
          <w:sz w:val="26"/>
        </w:rPr>
        <w:t>6.  Model Validation and Consistency Verification</w:t>
      </w:r>
    </w:p>
    <w:p>
      <w:pPr>
        <w:spacing w:before="160" w:after="40"/>
      </w:pPr>
      <w:r>
        <w:rPr>
          <w:rFonts w:ascii="Times New Roman" w:hAnsi="Times New Roman"/>
          <w:b/>
          <w:color w:val="243B53"/>
          <w:sz w:val="23"/>
        </w:rPr>
        <w:t>6.1  Asymptotic Limit Degradation Check</w:t>
      </w:r>
    </w:p>
    <w:p>
      <w:r>
        <w:t>Demonstrate that as drag approaches zero (Cd -&gt; 0), numerical trajectory converges exactly to analytical parabolic theory R = v0^2 sin(2 theta)/g.</w:t>
      </w:r>
    </w:p>
    <w:p>
      <w:pPr>
        <w:spacing w:before="160" w:after="40"/>
      </w:pPr>
      <w:r>
        <w:rPr>
          <w:rFonts w:ascii="Times New Roman" w:hAnsi="Times New Roman"/>
          <w:b/>
          <w:color w:val="243B53"/>
          <w:sz w:val="23"/>
        </w:rPr>
        <w:t>6.2  Energy / Momentum Conservation Invariant Check</w:t>
      </w:r>
    </w:p>
    <w:p>
      <w:r>
        <w:t>Verify that total mechanical energy drift or specific angular momentum changes match external work done by non-conservative forces within numerical tolerance (1e-6).</w:t>
      </w:r>
    </w:p>
    <w:p>
      <w:pPr>
        <w:spacing w:before="160" w:after="40"/>
      </w:pPr>
      <w:r>
        <w:rPr>
          <w:rFonts w:ascii="Times New Roman" w:hAnsi="Times New Roman"/>
          <w:b/>
          <w:color w:val="243B53"/>
          <w:sz w:val="23"/>
        </w:rPr>
        <w:t>6.3  Convergence and Tolerance Sensitivity Check</w:t>
      </w:r>
    </w:p>
    <w:p>
      <w:r>
        <w:t>Test solver robustness under RelTol = 1e-4, 1e-7, 1e-10 to confirm numerical stability.</w:t>
      </w:r>
    </w:p>
    <w:p>
      <w:pPr>
        <w:spacing w:before="280" w:after="80"/>
      </w:pPr>
      <w:r>
        <w:rPr>
          <w:rFonts w:ascii="Times New Roman" w:hAnsi="Times New Roman"/>
          <w:b/>
          <w:color w:val="102A43"/>
          <w:sz w:val="26"/>
        </w:rPr>
        <w:t>7.  Model Evaluation, Strengths and Limitations</w:t>
      </w:r>
    </w:p>
    <w:p>
      <w:pPr>
        <w:spacing w:before="160" w:after="40"/>
      </w:pPr>
      <w:r>
        <w:rPr>
          <w:rFonts w:ascii="Times New Roman" w:hAnsi="Times New Roman"/>
          <w:b/>
          <w:color w:val="243B53"/>
          <w:sz w:val="23"/>
        </w:rPr>
        <w:t>7.1  Key Strengths</w:t>
      </w:r>
    </w:p>
    <w:p>
      <w:r>
        <w:t>1. High fidelity coupling of real atmospheric and transonic aerodynamics;</w:t>
        <w:br/>
        <w:t>2. Strict event-driven boundary truncation;</w:t>
        <w:br/>
        <w:t>3. Robust reverse shooting root-finding.</w:t>
      </w:r>
    </w:p>
    <w:p>
      <w:pPr>
        <w:spacing w:before="160" w:after="40"/>
      </w:pPr>
      <w:r>
        <w:rPr>
          <w:rFonts w:ascii="Times New Roman" w:hAnsi="Times New Roman"/>
          <w:b/>
          <w:color w:val="243B53"/>
          <w:sz w:val="23"/>
        </w:rPr>
        <w:t>7.2  Assumptions and Regimes of Validity</w:t>
      </w:r>
    </w:p>
    <w:p>
      <w:r>
        <w:t>Specify breakdown boundaries: supersonic shock wave regime (M &gt; 2.5), extreme high-altitude rarefied flow (Knudsen number Kn &gt; 0.01), or severe non-rigid body deformation.</w:t>
      </w:r>
    </w:p>
    <w:p>
      <w:pPr>
        <w:spacing w:before="160" w:after="40"/>
      </w:pPr>
      <w:r>
        <w:rPr>
          <w:rFonts w:ascii="Times New Roman" w:hAnsi="Times New Roman"/>
          <w:b/>
          <w:color w:val="243B53"/>
          <w:sz w:val="23"/>
        </w:rPr>
        <w:t>7.3  Potential Improvements and Practical Extensions</w:t>
      </w:r>
    </w:p>
    <w:p>
      <w:r>
        <w:t>Propose 6-DOF rotational coupling, real-time wind shear turbulence models, and sensor noise feedback.</w:t>
      </w:r>
    </w:p>
    <w:p>
      <w:pPr>
        <w:spacing w:before="280" w:after="80"/>
      </w:pPr>
      <w:r>
        <w:rPr>
          <w:rFonts w:ascii="Times New Roman" w:hAnsi="Times New Roman"/>
          <w:b/>
          <w:color w:val="102A43"/>
          <w:sz w:val="26"/>
        </w:rPr>
        <w:t>8.  Conclusion</w:t>
      </w:r>
    </w:p>
    <w:p>
      <w:r>
        <w:t>Directly answer all competition tasks in 3-4 concise, bulleted scientific conclusions with exact numerical bounds and physical insights.</w:t>
      </w:r>
    </w:p>
    <w:p>
      <w:pPr>
        <w:spacing w:before="280" w:after="80"/>
      </w:pPr>
      <w:r>
        <w:rPr>
          <w:rFonts w:ascii="Times New Roman" w:hAnsi="Times New Roman"/>
          <w:b/>
          <w:color w:val="102A43"/>
          <w:sz w:val="26"/>
        </w:rPr>
        <w:t>References  References</w:t>
      </w:r>
    </w:p>
    <w:p>
      <w:r>
        <w:t>[1] U.S. Standard Atmosphere, 1976, U.S. Government Printing Office, Washington, D.C.</w:t>
        <w:br/>
        <w:t>[2] Anderson, J. D., Modern Compressible Flow: With Historical Perspective, McGraw-Hill, 2020.</w:t>
        <w:br/>
        <w:t>[3] NIST CODATA Fundamental Physical Constants, 2022.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