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BD7CF5" w:rsidRDefault="002339D3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>
              <w:t>KV 1b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FD5C1C" w:rsidRDefault="002339D3" w:rsidP="002339D3">
      <w:pPr>
        <w:pStyle w:val="ekvue1arial"/>
        <w:rPr>
          <w:lang w:val="fr-FR"/>
        </w:rPr>
      </w:pPr>
      <w:r>
        <w:rPr>
          <w:lang w:val="fr-FR"/>
        </w:rPr>
        <w:t>Accros aux médias ? (2)</w:t>
      </w:r>
    </w:p>
    <w:p w:rsidR="002339D3" w:rsidRPr="00FD5C1C" w:rsidRDefault="002339D3" w:rsidP="002339D3">
      <w:pPr>
        <w:rPr>
          <w:highlight w:val="yellow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 xml:space="preserve">4) </w:t>
            </w:r>
            <w:r>
              <w:rPr>
                <w:lang w:val="fr-FR"/>
              </w:rPr>
              <w:t>A la télé, je regarde…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émissions de sport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émissions d’infos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séries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des films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autres émissions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84"/>
        <w:gridCol w:w="2268"/>
        <w:gridCol w:w="2268"/>
      </w:tblGrid>
      <w:tr w:rsidR="002339D3" w:rsidRPr="00ED492E" w:rsidTr="00894E8F">
        <w:trPr>
          <w:trHeight w:val="584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5) Le temp</w:t>
            </w:r>
            <w:r>
              <w:rPr>
                <w:lang w:val="fr-FR"/>
              </w:rPr>
              <w:t>s que je suis en ligne par jour</w:t>
            </w:r>
            <w:r w:rsidRPr="00ED492E">
              <w:rPr>
                <w:lang w:val="fr-FR"/>
              </w:rPr>
              <w:t xml:space="preserve"> est…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mes camarades de classe</w:t>
            </w: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moins d’une heure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entre 1 et 2 heures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entre 2 et 3 heures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plus de 3 heures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84"/>
        <w:gridCol w:w="2268"/>
        <w:gridCol w:w="2268"/>
      </w:tblGrid>
      <w:tr w:rsidR="002339D3" w:rsidRPr="00ED492E" w:rsidTr="00894E8F">
        <w:trPr>
          <w:trHeight w:val="584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6) Quant au cinéma, j’y vais…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mes camarades de classe</w:t>
            </w: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310EF6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moins qu’une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une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deux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310EF6" w:rsidTr="00894E8F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 xml:space="preserve">plus que </w:t>
            </w:r>
            <w:r>
              <w:rPr>
                <w:lang w:val="fr-FR"/>
              </w:rPr>
              <w:t>deux</w:t>
            </w:r>
            <w:r w:rsidRPr="00ED492E">
              <w:rPr>
                <w:lang w:val="fr-FR"/>
              </w:rPr>
              <w:t xml:space="preserve"> fois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84"/>
        <w:gridCol w:w="2268"/>
        <w:gridCol w:w="2268"/>
      </w:tblGrid>
      <w:tr w:rsidR="002339D3" w:rsidRPr="00ED492E" w:rsidTr="00057DAE">
        <w:trPr>
          <w:trHeight w:val="584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7) En ce qui concerne des livres, je…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mes camarades de classe</w:t>
            </w: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310EF6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lis au moins deux livres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310EF6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lis un livre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310EF6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moins qu’un livre par mois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310EF6" w:rsidTr="00057DAE">
        <w:trPr>
          <w:trHeight w:val="508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ne lis pas de livres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057DAE" w:rsidRPr="00ED492E" w:rsidRDefault="00057DAE" w:rsidP="00894E8F">
      <w:pPr>
        <w:rPr>
          <w:lang w:val="fr-FR"/>
        </w:rPr>
      </w:pPr>
      <w:bookmarkStart w:id="0" w:name="_GoBack"/>
      <w:bookmarkEnd w:id="0"/>
    </w:p>
    <w:sectPr w:rsidR="00057DAE" w:rsidRPr="00ED492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E862640" wp14:editId="5B76415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0BBA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16C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0EF6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E2F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54D05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053CD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479CA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8C4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2017-09-22T12:31:00Z</cp:lastPrinted>
  <dcterms:created xsi:type="dcterms:W3CDTF">2017-10-18T13:46:00Z</dcterms:created>
  <dcterms:modified xsi:type="dcterms:W3CDTF">2017-10-18T13:46:00Z</dcterms:modified>
</cp:coreProperties>
</file>