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351C4D" w:rsidRPr="002F5091" w:rsidRDefault="00E40A1C" w:rsidP="00241378">
            <w:pPr>
              <w:pStyle w:val="ekvue3arial"/>
              <w:rPr>
                <w:lang w:val="fr-FR"/>
              </w:rPr>
            </w:pPr>
            <w:r>
              <w:rPr>
                <w:lang w:val="fr-FR"/>
              </w:rPr>
              <w:t xml:space="preserve">Atelier </w:t>
            </w:r>
            <w:r w:rsidR="00241378">
              <w:rPr>
                <w:lang w:val="fr-FR"/>
              </w:rPr>
              <w:t>B</w:t>
            </w:r>
            <w:bookmarkStart w:id="0" w:name="_GoBack"/>
            <w:bookmarkEnd w:id="0"/>
            <w:r w:rsidR="00AC4A08">
              <w:rPr>
                <w:lang w:val="fr-FR"/>
              </w:rPr>
              <w:t xml:space="preserve">, </w:t>
            </w:r>
            <w:r w:rsidR="00607BDC">
              <w:rPr>
                <w:lang w:val="fr-FR"/>
              </w:rPr>
              <w:t>page</w:t>
            </w:r>
            <w:r w:rsidR="008C699C">
              <w:rPr>
                <w:lang w:val="fr-FR"/>
              </w:rPr>
              <w:t>s</w:t>
            </w:r>
            <w:r w:rsidR="00607BDC">
              <w:rPr>
                <w:lang w:val="fr-FR"/>
              </w:rPr>
              <w:t xml:space="preserve"> </w:t>
            </w:r>
            <w:r>
              <w:rPr>
                <w:lang w:val="fr-FR"/>
              </w:rPr>
              <w:t>8</w:t>
            </w:r>
            <w:r w:rsidR="008C699C">
              <w:rPr>
                <w:lang w:val="fr-FR"/>
              </w:rPr>
              <w:t>9–90</w:t>
            </w:r>
          </w:p>
        </w:tc>
        <w:tc>
          <w:tcPr>
            <w:tcW w:w="1177" w:type="dxa"/>
            <w:tcBorders>
              <w:top w:val="nil"/>
              <w:bottom w:val="nil"/>
            </w:tcBorders>
            <w:vAlign w:val="bottom"/>
          </w:tcPr>
          <w:p w:rsidR="00F45848" w:rsidRPr="00AC4A08" w:rsidRDefault="00F06548" w:rsidP="000E1075">
            <w:pPr>
              <w:pStyle w:val="ekvkapitellinksbndig"/>
              <w:rPr>
                <w:lang w:val="fr-FR"/>
              </w:rPr>
            </w:pPr>
            <w:r>
              <w:rPr>
                <w:lang w:val="fr-FR"/>
              </w:rPr>
              <w:t>6</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E753C5" w:rsidRPr="00B15B2F" w:rsidRDefault="008219C5" w:rsidP="00E753C5">
      <w:pPr>
        <w:pStyle w:val="ekvue2arial"/>
        <w:rPr>
          <w:lang w:val="fr-FR"/>
        </w:rPr>
      </w:pPr>
      <w:r>
        <w:rPr>
          <w:lang w:val="fr-FR"/>
        </w:rPr>
        <w:t>Les ados au festival de Cannes</w:t>
      </w:r>
    </w:p>
    <w:p w:rsidR="00E753C5" w:rsidRDefault="00E753C5" w:rsidP="00E753C5">
      <w:pPr>
        <w:rPr>
          <w:lang w:val="fr-FR"/>
        </w:rPr>
      </w:pPr>
    </w:p>
    <w:p w:rsidR="008219C5" w:rsidRPr="008219C5" w:rsidRDefault="008219C5" w:rsidP="008219C5">
      <w:pPr>
        <w:rPr>
          <w:lang w:val="fr-FR"/>
        </w:rPr>
      </w:pPr>
      <w:r w:rsidRPr="00F65847">
        <w:rPr>
          <w:rStyle w:val="ekvfett"/>
          <w:lang w:val="fr-FR"/>
        </w:rPr>
        <w:t>1.</w:t>
      </w:r>
      <w:r>
        <w:rPr>
          <w:lang w:val="fr-FR"/>
        </w:rPr>
        <w:tab/>
      </w:r>
      <w:r w:rsidRPr="008219C5">
        <w:rPr>
          <w:lang w:val="fr-FR"/>
        </w:rPr>
        <w:t>Chaque année, l’OFAJ et la Semaine de la Critique proposent à des jeunes français et allemands de se retrouver au festival de Cannes pour un atelier franco-allemand. Pendant trois jours, ils rencontrent des journalistes de cinéma. Ces professionnels leur parlent de leur métier et de leur passion pour le 7</w:t>
      </w:r>
      <w:r w:rsidRPr="00317D23">
        <w:rPr>
          <w:vertAlign w:val="superscript"/>
          <w:lang w:val="fr-FR"/>
        </w:rPr>
        <w:t>e</w:t>
      </w:r>
      <w:r w:rsidRPr="008219C5">
        <w:rPr>
          <w:lang w:val="fr-FR"/>
        </w:rPr>
        <w:t xml:space="preserve"> art et leur apprennent à écrire des critiques de film.</w:t>
      </w:r>
    </w:p>
    <w:p w:rsidR="008219C5" w:rsidRPr="008219C5" w:rsidRDefault="008219C5" w:rsidP="008219C5">
      <w:pPr>
        <w:rPr>
          <w:lang w:val="fr-FR"/>
        </w:rPr>
      </w:pPr>
      <w:r w:rsidRPr="008219C5">
        <w:rPr>
          <w:lang w:val="fr-FR"/>
        </w:rPr>
        <w:t xml:space="preserve">Les jeunes qui participent à l’atelier ont pris à l’école une option cinéma où ils s’intéressent au rôle des images et du cinéma dans la société et étudient des films plus fréquemment que les autres élèves. </w:t>
      </w:r>
    </w:p>
    <w:p w:rsidR="008219C5" w:rsidRPr="008219C5" w:rsidRDefault="008219C5" w:rsidP="008219C5">
      <w:pPr>
        <w:rPr>
          <w:lang w:val="fr-FR"/>
        </w:rPr>
      </w:pPr>
      <w:r w:rsidRPr="008219C5">
        <w:rPr>
          <w:lang w:val="fr-FR"/>
        </w:rPr>
        <w:t>Sur la Croisette, les participants ont la chance de monter les marches du Palais des festivals en smoking et robes longues aussi normalement que les stars La seule différence : ils restent moins longtemps qu’elles devant les photographes. Ils aiment l’ambiance du festival, mais ce sont surtout les courts et les longs métrages qui les intéressent.</w:t>
      </w:r>
    </w:p>
    <w:p w:rsidR="008219C5" w:rsidRPr="008219C5" w:rsidRDefault="008219C5" w:rsidP="008219C5">
      <w:pPr>
        <w:rPr>
          <w:lang w:val="fr-FR"/>
        </w:rPr>
      </w:pPr>
    </w:p>
    <w:p w:rsidR="008219C5" w:rsidRDefault="008219C5" w:rsidP="008219C5">
      <w:pPr>
        <w:rPr>
          <w:lang w:val="fr-FR"/>
        </w:rPr>
      </w:pPr>
      <w:r w:rsidRPr="00F65847">
        <w:rPr>
          <w:rStyle w:val="ekvfett"/>
        </w:rPr>
        <w:t>2.</w:t>
      </w:r>
      <w:r>
        <w:rPr>
          <w:lang w:val="fr-FR"/>
        </w:rPr>
        <w:tab/>
      </w:r>
      <w:r w:rsidRPr="008219C5">
        <w:rPr>
          <w:lang w:val="fr-FR"/>
        </w:rPr>
        <w:t>Nino et Berya ont participé à cette rencontre et parlent des films qu’ils ont vus à Cannes.</w:t>
      </w:r>
    </w:p>
    <w:p w:rsidR="008219C5" w:rsidRPr="008219C5" w:rsidRDefault="008219C5" w:rsidP="008219C5">
      <w:pPr>
        <w:pStyle w:val="ekvgrundtexthalbe"/>
        <w:rPr>
          <w:lang w:val="fr-FR"/>
        </w:rPr>
      </w:pPr>
    </w:p>
    <w:p w:rsidR="00317D23" w:rsidRDefault="008219C5" w:rsidP="008219C5">
      <w:pPr>
        <w:rPr>
          <w:lang w:val="fr-FR"/>
        </w:rPr>
      </w:pPr>
      <w:r w:rsidRPr="008219C5">
        <w:rPr>
          <w:lang w:val="fr-FR"/>
        </w:rPr>
        <w:t>Nino, Nantes :</w:t>
      </w:r>
    </w:p>
    <w:p w:rsidR="008219C5" w:rsidRPr="008219C5" w:rsidRDefault="008219C5" w:rsidP="008219C5">
      <w:pPr>
        <w:rPr>
          <w:lang w:val="fr-FR"/>
        </w:rPr>
      </w:pPr>
      <w:r w:rsidRPr="008219C5">
        <w:rPr>
          <w:lang w:val="fr-FR"/>
        </w:rPr>
        <w:t>Moi, je vais plus régulièrement au cinéma que la plupart de mes copains. Le plus souvent, je vais dans un petit cinéma indépendant, je trouve ça mieux que les grandes salles. C’est un cinéma qui montre des films qu’on ne voit pas ailleurs. Etre à Cannes, pour moi, c’est un rêve car c’est le plus beau festival de cinéma du monde.</w:t>
      </w:r>
    </w:p>
    <w:p w:rsidR="008219C5" w:rsidRPr="008219C5" w:rsidRDefault="008219C5" w:rsidP="008219C5">
      <w:pPr>
        <w:rPr>
          <w:lang w:val="fr-FR"/>
        </w:rPr>
      </w:pPr>
      <w:r w:rsidRPr="008219C5">
        <w:rPr>
          <w:lang w:val="fr-FR"/>
        </w:rPr>
        <w:t xml:space="preserve">C’est le film </w:t>
      </w:r>
      <w:r w:rsidRPr="008219C5">
        <w:rPr>
          <w:rStyle w:val="ekvkursiv"/>
          <w:lang w:val="fr-FR"/>
        </w:rPr>
        <w:t>Toni Erdmann</w:t>
      </w:r>
      <w:r w:rsidRPr="008219C5">
        <w:rPr>
          <w:lang w:val="fr-FR"/>
        </w:rPr>
        <w:t xml:space="preserve"> de la réalisatrice allemande Maren Ade qui m’a le plus touché. Il raconte l’histoire d’un homme qui trouve que sa fille est devenue trop sérieuse. J’ai eu un vrai coup de cœur pour ce drame très original. Le scénario est génial ! J’ai beaucoup ri et puis j’ai pleuré aussi. Le seul défaut du film : il est peut-être un peu long. A mon avis, il avait tout pour avoir la palme d’or ! Pour moi, c’est le film qu’il faut voir cette année !</w:t>
      </w:r>
    </w:p>
    <w:p w:rsidR="008219C5" w:rsidRPr="008219C5" w:rsidRDefault="008219C5" w:rsidP="008219C5">
      <w:pPr>
        <w:pStyle w:val="ekvgrundtexthalbe"/>
        <w:rPr>
          <w:lang w:val="fr-FR"/>
        </w:rPr>
      </w:pPr>
    </w:p>
    <w:p w:rsidR="00317D23" w:rsidRDefault="008219C5" w:rsidP="008219C5">
      <w:pPr>
        <w:rPr>
          <w:lang w:val="fr-FR"/>
        </w:rPr>
      </w:pPr>
      <w:r w:rsidRPr="008219C5">
        <w:rPr>
          <w:lang w:val="fr-FR"/>
        </w:rPr>
        <w:t>Berya, Nuremberg :</w:t>
      </w:r>
    </w:p>
    <w:p w:rsidR="008219C5" w:rsidRPr="008219C5" w:rsidRDefault="008219C5" w:rsidP="008219C5">
      <w:pPr>
        <w:rPr>
          <w:lang w:val="fr-FR"/>
        </w:rPr>
      </w:pPr>
      <w:r w:rsidRPr="008219C5">
        <w:rPr>
          <w:lang w:val="fr-FR"/>
        </w:rPr>
        <w:t xml:space="preserve">Dans le groupe, c’est moi qui parle le moins bien français. Alors, vous imaginez, écrire une critique de film ? Mais finalement avec les conseils des professionnels, j’ai réussi aussi bien que tout le monde. </w:t>
      </w:r>
    </w:p>
    <w:p w:rsidR="008219C5" w:rsidRPr="008219C5" w:rsidRDefault="008219C5" w:rsidP="008219C5">
      <w:pPr>
        <w:rPr>
          <w:lang w:val="fr-FR"/>
        </w:rPr>
      </w:pPr>
      <w:r w:rsidRPr="008219C5">
        <w:rPr>
          <w:lang w:val="fr-FR"/>
        </w:rPr>
        <w:t>Je suis fan de cinéma ! Alors j’étais très excitée à l’idée d’aller à Cannes. A cause des films, bien sûr, mais aussi à cause de l’ambiance, et aussi un peu à cause des stars…</w:t>
      </w:r>
    </w:p>
    <w:p w:rsidR="00D00213" w:rsidRPr="008219C5" w:rsidRDefault="008219C5" w:rsidP="008219C5">
      <w:r w:rsidRPr="008219C5">
        <w:rPr>
          <w:lang w:val="fr-FR"/>
        </w:rPr>
        <w:t xml:space="preserve">Normalement, ce sont les comédies que je préfère, mais là, c’est un film où on ne rit pas beaucoup qui m’a beaucoup marquée : </w:t>
      </w:r>
      <w:r w:rsidRPr="008219C5">
        <w:rPr>
          <w:rStyle w:val="ekvkursiv"/>
          <w:lang w:val="fr-FR"/>
        </w:rPr>
        <w:t>La fille inconnue</w:t>
      </w:r>
      <w:r w:rsidRPr="008219C5">
        <w:rPr>
          <w:lang w:val="fr-FR"/>
        </w:rPr>
        <w:t xml:space="preserve"> des frères Dardennes, pour moi, un vrai chef d’œuvre. J’ai aussi découvert les très courts métrages, un genre que je ne connaissais pas. Je trouve ça assez impressionnant car les réalisateurs n’ont que trois minutes pour raconter leur histoire, ça ne doit pas être évident. J’ai adoré </w:t>
      </w:r>
      <w:r w:rsidRPr="008219C5">
        <w:rPr>
          <w:rStyle w:val="ekvkursiv"/>
          <w:lang w:val="fr-FR"/>
        </w:rPr>
        <w:t>Rencontre à l’aveugle - Au bon endroit</w:t>
      </w:r>
      <w:r w:rsidRPr="008219C5">
        <w:rPr>
          <w:lang w:val="fr-FR"/>
        </w:rPr>
        <w:t xml:space="preserve">. Le sujet est vraiment actuel et le dénouement était une vraie surprise. </w:t>
      </w:r>
      <w:r w:rsidRPr="00975AFA">
        <w:t>Moi j’ai trouvé ça très drôle.</w:t>
      </w:r>
    </w:p>
    <w:sectPr w:rsidR="00D00213" w:rsidRPr="008219C5"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303A"/>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6191"/>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3EC8"/>
    <w:rsid w:val="00214764"/>
    <w:rsid w:val="00216D91"/>
    <w:rsid w:val="002240EA"/>
    <w:rsid w:val="002266E8"/>
    <w:rsid w:val="002277D2"/>
    <w:rsid w:val="002301FF"/>
    <w:rsid w:val="00231225"/>
    <w:rsid w:val="00232213"/>
    <w:rsid w:val="00241378"/>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17D23"/>
    <w:rsid w:val="00320087"/>
    <w:rsid w:val="003200F9"/>
    <w:rsid w:val="00321063"/>
    <w:rsid w:val="0032667B"/>
    <w:rsid w:val="00331D08"/>
    <w:rsid w:val="003323B5"/>
    <w:rsid w:val="003357CE"/>
    <w:rsid w:val="003373EF"/>
    <w:rsid w:val="00341CFB"/>
    <w:rsid w:val="00350FBE"/>
    <w:rsid w:val="00351C4D"/>
    <w:rsid w:val="00357BFF"/>
    <w:rsid w:val="003611D5"/>
    <w:rsid w:val="00362B02"/>
    <w:rsid w:val="0036404C"/>
    <w:rsid w:val="00364D77"/>
    <w:rsid w:val="003653D5"/>
    <w:rsid w:val="003714AA"/>
    <w:rsid w:val="00374DF4"/>
    <w:rsid w:val="00376A0A"/>
    <w:rsid w:val="00380B14"/>
    <w:rsid w:val="0038356B"/>
    <w:rsid w:val="00384305"/>
    <w:rsid w:val="003904A0"/>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1898"/>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2432"/>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09D5"/>
    <w:rsid w:val="00634BFC"/>
    <w:rsid w:val="0064692C"/>
    <w:rsid w:val="00650BC1"/>
    <w:rsid w:val="00653F68"/>
    <w:rsid w:val="0067156C"/>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19C5"/>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0B6E"/>
    <w:rsid w:val="008B446A"/>
    <w:rsid w:val="008B5E47"/>
    <w:rsid w:val="008C0880"/>
    <w:rsid w:val="008C27FD"/>
    <w:rsid w:val="008C699C"/>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B2F"/>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6D53"/>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3B34"/>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0A1C"/>
    <w:rsid w:val="00E43E04"/>
    <w:rsid w:val="00E44E20"/>
    <w:rsid w:val="00E463F1"/>
    <w:rsid w:val="00E47A67"/>
    <w:rsid w:val="00E50679"/>
    <w:rsid w:val="00E50799"/>
    <w:rsid w:val="00E552A4"/>
    <w:rsid w:val="00E604BE"/>
    <w:rsid w:val="00E6190A"/>
    <w:rsid w:val="00E63251"/>
    <w:rsid w:val="00E65EBD"/>
    <w:rsid w:val="00E70C40"/>
    <w:rsid w:val="00E710C7"/>
    <w:rsid w:val="00E753C5"/>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06548"/>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65847"/>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6</cp:revision>
  <cp:lastPrinted>2016-12-23T16:36:00Z</cp:lastPrinted>
  <dcterms:created xsi:type="dcterms:W3CDTF">2017-08-15T08:15:00Z</dcterms:created>
  <dcterms:modified xsi:type="dcterms:W3CDTF">2017-08-15T08:44:00Z</dcterms:modified>
</cp:coreProperties>
</file>