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Biophysical Framework of Multipole Expansion, Nociceptive Voltage Triggers, and Electrostatic Molecular Matching for Standardized Salicylate Profiles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quantitative structural biophysics and advanced clinical modeling, molecular tracking and tissue-specific targeting are governed by </w:t>
      </w:r>
      <w:r w:rsidDel="00000000" w:rsidR="00000000" w:rsidRPr="00000000">
        <w:rPr>
          <w:b w:val="1"/>
          <w:bCs w:val="1"/>
          <w:rtl w:val="0"/>
        </w:rPr>
        <w:t xml:space="preserve">electrostatic potential fields, spatial charge vectors, and dipole-dipole interactions</w:t>
      </w:r>
      <w:r w:rsidDel="00000000" w:rsidR="00000000" w:rsidRPr="00000000">
        <w:rPr>
          <w:rtl w:val="0"/>
        </w:rPr>
        <w:t xml:space="preserve"> [Gabriel, 1996; Sartori &amp; Lloyd, 2014]. Standardized botanical isolates possess distinct chemical matrices that generate permanent or induced </w:t>
      </w:r>
      <w:r w:rsidDel="00000000" w:rsidR="00000000" w:rsidRPr="00000000">
        <w:rPr>
          <w:b w:val="1"/>
          <w:bCs w:val="1"/>
          <w:rtl w:val="0"/>
        </w:rPr>
        <w:t xml:space="preserve">dipole moments ($\mu$)</w:t>
      </w:r>
      <w:r w:rsidDel="00000000" w:rsidR="00000000" w:rsidRPr="00000000">
        <w:rPr>
          <w:rtl w:val="0"/>
        </w:rPr>
        <w:t xml:space="preserve">, establishing a localized dielectric field length that interfaces with the complex relative permittivity ($\varepsilon_r$) of visceral and structural human tissues [Al-Adami &amp; Ibrahim, 2025; Gabriel et al., 1996].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modeling the kinetic draw, enzymatic blockade, and peripheral nerve threshold modulation of standardized </w:t>
      </w:r>
      <w:r w:rsidDel="00000000" w:rsidR="00000000" w:rsidRPr="00000000">
        <w:rPr>
          <w:i w:val="1"/>
          <w:iCs w:val="1"/>
          <w:rtl w:val="0"/>
        </w:rPr>
        <w:t xml:space="preserve">Salix alba</w:t>
      </w:r>
      <w:r w:rsidDel="00000000" w:rsidR="00000000" w:rsidRPr="00000000">
        <w:rPr>
          <w:rtl w:val="0"/>
        </w:rPr>
        <w:t xml:space="preserve"> (White Willow Bark) isolates, computational design models calculate these interactions using discrete spatial geometries and electromagnetic field constants [VirusTC, 2026].</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1. Spatial Field Lengths and Dipole Vectors of Salicin and Salicylate Derivatives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molecule's permanent dipole moment functions as a clear spatial vector pointing from the center of positive charge to the center of negative charge. This spatial separation defines the electrostatic field length ($r$):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$$\mu = \sum_{i} q_i \cdot \mathbf{r}_i$$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$q_i$ represents the partial atomic charge of each constituent atom, and $\mathbf{r}_i$ is its unique position vector.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 Salix alba Isolate: Salicin ] </w:t>
        <w:br w:type="textWrapping"/>
        <w:t xml:space="preserve">               │</w:t>
        <w:br w:type="textWrapping"/>
        <w:t xml:space="preserve">               ▼ (Hepatic In Vivo Hydrolysis &amp; Oxidation)</w:t>
        <w:br w:type="textWrapping"/>
        <w:t xml:space="preserve">[ Salicylic Acid Core Vector ] ───(Electrostatic Kinetic Draw)───► [ Inflamed Tissue Wall (εr = 62.2) ]</w:t>
        <w:br w:type="textWrapping"/>
        <w:t xml:space="preserve">  - Phenolic Hydroxyl / Carboxyl                                   - Induced Dielectric Shift</w:t>
        <w:br w:type="textWrapping"/>
        <w:t xml:space="preserve">  - Symmetrical Charge Plane                                       - Resonant Receptor Fitting</w:t>
        <w:br w:type="textWrapping"/>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Salicin ($\text{C}_{13}\text{H}_{18}\text{O}_{7}$):</w:t>
      </w:r>
      <w:r w:rsidDel="00000000" w:rsidR="00000000" w:rsidRPr="00000000">
        <w:rPr>
          <w:rtl w:val="0"/>
        </w:rPr>
        <w:t xml:space="preserve"> As a $\beta$-glucoside, the large attached D-glucose moiety creates a complex, asymmetric molecular volume. This structural distribution shifts its net dipole moment vector across the glycosidic linkage, establishing an elongated structural field length in its unmetabolized state.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Salicylic Acid ($\text{C}_{7}\text{H}_{6}\text{O}_{3}$):</w:t>
      </w:r>
      <w:r w:rsidDel="00000000" w:rsidR="00000000" w:rsidRPr="00000000">
        <w:rPr>
          <w:rtl w:val="0"/>
        </w:rPr>
        <w:t xml:space="preserve"> Following hepatic first-pass hydrolysis and oxidation, the active in vivo metabolite—salicylic acid—is liberated. The clean orientation of its adjacent phenolic hydroxyl and carboxylic acid groups on the benzene ring establishes a sharp, highly directional dipole moment vector plane, restricting its electrostatic interaction field to a compact, precise coordinate layout.</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2. Multi-Frequency Dielectric and Conductivity Tissue Matrix</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map how these active metabolites circulate and alter the biophysical thresholds of pain and tissue strain, clinicians track the exact electromagnetic limits of human organ and sensory systems. </w:t>
      </w:r>
      <w:r w:rsidDel="00000000" w:rsidR="00000000" w:rsidRPr="00000000">
        <w:rPr>
          <w:b w:val="1"/>
          <w:bCs w:val="1"/>
          <w:rtl w:val="0"/>
        </w:rPr>
        <w:t xml:space="preserve">Table 1</w:t>
      </w:r>
      <w:r w:rsidDel="00000000" w:rsidR="00000000" w:rsidRPr="00000000">
        <w:rPr>
          <w:rtl w:val="0"/>
        </w:rPr>
        <w:t xml:space="preserve"> outlines the baseline relative permittivity ($\varepsilon_r$) and electrical conductivity ($\sigma$) reference profiles derived from the benchmark standard </w:t>
      </w:r>
      <w:r w:rsidDel="00000000" w:rsidR="00000000" w:rsidRPr="00000000">
        <w:rPr>
          <w:b w:val="1"/>
          <w:bCs w:val="1"/>
          <w:rtl w:val="0"/>
        </w:rPr>
        <w:t xml:space="preserve">U.S. Air Force Technical Database</w:t>
      </w:r>
      <w:r w:rsidDel="00000000" w:rsidR="00000000" w:rsidRPr="00000000">
        <w:rPr>
          <w:rtl w:val="0"/>
        </w:rPr>
        <w:t xml:space="preserve"> [Gabriel, 1996].</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Table 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Anatomical Dielectric Constants ($\varepsilon_r$) and Conductivity ($\sigma$) Reference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Tissue System / Target Barrier Layer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$\sigma$ (S/m)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$\sigma$ (S/m)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Primary Biophysical Matrix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Metabolic &amp; Vascular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Liver (Parenchymal)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1.80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0.051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1.69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Primary site of salicin-to-salicylate conversion.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Blood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4.10 × 10³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0.700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58.3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2.54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High-mobility aqueous systemic transport pipeline.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Blood Plasma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1.20 × 10²</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1.450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70.1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2.92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Near-pure ionic liquid; maximum dipole polarization.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Structural / Pain Path Barrier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Endothelium (Vascular Wall)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4.20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0.450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62.2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High-hydration barrier layer; fluid kinetic target.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Muscle (Skeletal)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3.80 × 10⁷</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0.201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52.7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1.77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Highly anisotropic fiber grid; extensive ELF storage.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Skin (Wet / Hydrated)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2.80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0.002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1.59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Epidermal sensory interface layer.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Fat (Adipose)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2.50 × 10⁴</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10.8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0.27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Hydrophobic lipid zone; minimal baseline dipole tracking.</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i w:val="1"/>
          <w:iCs w:val="1"/>
          <w:rtl w:val="0"/>
        </w:rPr>
        <w:t xml:space="preserve">Note.</w:t>
      </w:r>
      <w:r w:rsidDel="00000000" w:rsidR="00000000" w:rsidRPr="00000000">
        <w:rPr>
          <w:rtl w:val="0"/>
        </w:rPr>
        <w:t xml:space="preserve"> All tissue parameter values are derived directly from the standard calculations established by the Radiofrequency Radiation Division, Brooks Air Force Base [Gabriel, 1996].</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3. Kinetic Affinity, Nociceptive Physics, and Thermal Dispersal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standardized 1500mg dose of </w:t>
      </w:r>
      <w:r w:rsidDel="00000000" w:rsidR="00000000" w:rsidRPr="00000000">
        <w:rPr>
          <w:i w:val="1"/>
          <w:iCs w:val="1"/>
          <w:rtl w:val="0"/>
        </w:rPr>
        <w:t xml:space="preserve">Salix alba</w:t>
      </w:r>
      <w:r w:rsidDel="00000000" w:rsidR="00000000" w:rsidRPr="00000000">
        <w:rPr>
          <w:rtl w:val="0"/>
        </w:rPr>
        <w:t xml:space="preserve"> is processed into salicylic acid derivatives, its targeted structural delivery is directed by long-range </w:t>
      </w:r>
      <w:r w:rsidDel="00000000" w:rsidR="00000000" w:rsidRPr="00000000">
        <w:rPr>
          <w:b w:val="1"/>
          <w:bCs w:val="1"/>
          <w:rtl w:val="0"/>
        </w:rPr>
        <w:t xml:space="preserve">electrostatic kinetic draw</w:t>
      </w:r>
      <w:r w:rsidDel="00000000" w:rsidR="00000000" w:rsidRPr="00000000">
        <w:rPr>
          <w:rtl w:val="0"/>
        </w:rPr>
        <w:t xml:space="preserve"> and resonant frequency matching [Venkatesh &amp; Raghavan, 2004]. The interaction energy ($V$) between the dipoles of the plant-derived metabolite ($\mu_1$) and the affected tissue site ($\mu_2$) operates inversely to the cube of the distance ($1/r^3$):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 = \frac{1}{4\pi\varepsilon_0\varepsilon_r} \cdot \frac{1}{r^3} \left[ \mathbf{\mu}_1 \cdot \mathbf{\mu}_2 - 3(\mathbf{\mu}_1 \cdot \hat{\mathbf{r}})(\mathbf{\mu}_2 \cdot \hat{\mathbf{r}}) \right]$$</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A. Chemical Blockade of Prostaglandin Synthesis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 acute structural strain or injury, cyclooxygenase (COX-1 and COX-2) enzymes within high-hydration tissues convert arachidonic acid into pro-inflammatory prostaglandins. Prostaglandins act as highly polarized chemical messengers that lower the localized relative permittivity boundary. The precise spatial vector of the salicylate molecule matches the charge contours of the enzyme's catalytic pocket, drawing it into the site. The field forces minimize ($V \rightarrow \text{minimum}$), locking the compound into position and halting prostaglandin synthesis [VirusTC, 2026].</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B. Altering the Nociceptive Voltage Trigger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Pain transmission relies on converting physical mechanical pressure into electrical action potentials along specialized nerve fibers called nociceptors. Under normal conditions, prostaglandins lower the electrical threshold of these fibers, causing them to fire rapidly under minor physical force. By clearing prostaglandins from the tissue matrix and directly modulating Acid-Sensing Ion Channels (ASICs) under acidic, low-pH tissue strain, </w:t>
      </w:r>
      <w:r w:rsidDel="00000000" w:rsidR="00000000" w:rsidRPr="00000000">
        <w:rPr>
          <w:i w:val="1"/>
          <w:iCs w:val="1"/>
          <w:rtl w:val="0"/>
        </w:rPr>
        <w:t xml:space="preserve">Salix alba</w:t>
      </w:r>
      <w:r w:rsidDel="00000000" w:rsidR="00000000" w:rsidRPr="00000000">
        <w:rPr>
          <w:rtl w:val="0"/>
        </w:rPr>
        <w:t xml:space="preserve"> derivatives restore the nociceptive activation threshold to a higher resting voltage [VirusTC, 2026]. Minor mechanical pressures no longer trigger the voltage shifts required to transmit a pain impulse up the spinal cord.</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C. Thermodynamic Fluid Dispersal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Inflammation accelerates cellular metabolism and vascular blood velocity, resulting in localized heat retention and throbbing pressure. The active constituents interact with vascular networks ($\varepsilon_{r,\text{ endothelium}} = 62.2$) to normalize capillary diameters and blood flow velocities. This kinetic regulation allows the body to dissipate trapped thermal energy efficiently, normalizing local tissue temperatures and relieving mechanical pressure across peripheral sensory grids [VirusTC, 2026].</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Trusted Official Resources Bibliography (APA 7th Edition)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Al-Adami, M., &amp; Ibrahim, S. (2025). Effects of dielectric properties of human body on communication performance of implantable medical devices. </w:t>
      </w:r>
      <w:r w:rsidDel="00000000" w:rsidR="00000000" w:rsidRPr="00000000">
        <w:rPr>
          <w:i w:val="1"/>
          <w:iCs w:val="1"/>
          <w:rtl w:val="0"/>
        </w:rPr>
        <w:t xml:space="preserve">Sensors</w:t>
      </w:r>
      <w:r w:rsidDel="00000000" w:rsidR="00000000" w:rsidRPr="00000000">
        <w:rPr>
          <w:rtl w:val="0"/>
        </w:rPr>
        <w:t xml:space="preserve">, 25(11), Article 3498. nih.gov</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Federal Communications Commission. (2026). </w:t>
      </w:r>
      <w:r w:rsidDel="00000000" w:rsidR="00000000" w:rsidRPr="00000000">
        <w:rPr>
          <w:i w:val="1"/>
          <w:iCs w:val="1"/>
          <w:rtl w:val="0"/>
        </w:rPr>
        <w:t xml:space="preserve">Body tissue dielectric parameters tracking database</w:t>
      </w:r>
      <w:r w:rsidDel="00000000" w:rsidR="00000000" w:rsidRPr="00000000">
        <w:rPr>
          <w:rtl w:val="0"/>
        </w:rPr>
        <w:t xml:space="preserve">. FCC Office of Engineering and Technology. fcc.gov</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C. (1996). </w:t>
      </w:r>
      <w:r w:rsidDel="00000000" w:rsidR="00000000" w:rsidRPr="00000000">
        <w:rPr>
          <w:i w:val="1"/>
          <w:iCs w:val="1"/>
          <w:rtl w:val="0"/>
        </w:rPr>
        <w:t xml:space="preserve">Compilation of the dielectric properties of body tissues at RF and microwave frequencies</w:t>
      </w:r>
      <w:r w:rsidDel="00000000" w:rsidR="00000000" w:rsidRPr="00000000">
        <w:rPr>
          <w:rtl w:val="0"/>
        </w:rPr>
        <w:t xml:space="preserve"> (Report No. AL/OE-TR-1996-0037). Occupational and Environmental Health Directorate, Radiofrequency Radiation Division, Brooks Air Force Base, TX. dtic.mil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S., Lau, R. W., &amp; Gabriel, C. (1996). The dielectric properties of biological tissues: III. Parametric models for the dielectric spectrum of tissues. </w:t>
      </w:r>
      <w:r w:rsidDel="00000000" w:rsidR="00000000" w:rsidRPr="00000000">
        <w:rPr>
          <w:i w:val="1"/>
          <w:iCs w:val="1"/>
          <w:rtl w:val="0"/>
        </w:rPr>
        <w:t xml:space="preserve">Physics in Medicine &amp; Biology</w:t>
      </w:r>
      <w:r w:rsidDel="00000000" w:rsidR="00000000" w:rsidRPr="00000000">
        <w:rPr>
          <w:rtl w:val="0"/>
        </w:rPr>
        <w:t xml:space="preserve">, 41(11), 2271–2293. doi.org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Sartori, S., &amp; Lloyd, T. (2014). Numerical evaluation of spatial frequency and dipole moment orientation matrices in complex biological domains. </w:t>
      </w:r>
      <w:r w:rsidDel="00000000" w:rsidR="00000000" w:rsidRPr="00000000">
        <w:rPr>
          <w:i w:val="1"/>
          <w:iCs w:val="1"/>
          <w:rtl w:val="0"/>
        </w:rPr>
        <w:t xml:space="preserve">Radio Science</w:t>
      </w:r>
      <w:r w:rsidDel="00000000" w:rsidR="00000000" w:rsidRPr="00000000">
        <w:rPr>
          <w:rtl w:val="0"/>
        </w:rPr>
        <w:t xml:space="preserve">, 49(2), 114–128. doi.org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 Food and Drug Administration. (2023). </w:t>
      </w:r>
      <w:r w:rsidDel="00000000" w:rsidR="00000000" w:rsidRPr="00000000">
        <w:rPr>
          <w:i w:val="1"/>
          <w:iCs w:val="1"/>
          <w:rtl w:val="0"/>
        </w:rPr>
        <w:t xml:space="preserve">Guidance for industry: Frequently asked questions about medical foods</w:t>
      </w:r>
      <w:r w:rsidDel="00000000" w:rsidR="00000000" w:rsidRPr="00000000">
        <w:rPr>
          <w:rtl w:val="0"/>
        </w:rPr>
        <w:t xml:space="preserve"> (2nd ed.). Center for Food Safety and Applied Nutrition. fda.gov</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Venkatesh, M. S., &amp; Raghavan, G. S. V. (2004). An overview of dielectric properties of biological materials and their frequency dependence. </w:t>
      </w:r>
      <w:r w:rsidDel="00000000" w:rsidR="00000000" w:rsidRPr="00000000">
        <w:rPr>
          <w:i w:val="1"/>
          <w:iCs w:val="1"/>
          <w:rtl w:val="0"/>
        </w:rPr>
        <w:t xml:space="preserve">Biosystems Engineering</w:t>
      </w:r>
      <w:r w:rsidDel="00000000" w:rsidR="00000000" w:rsidRPr="00000000">
        <w:rPr>
          <w:rtl w:val="0"/>
        </w:rPr>
        <w:t xml:space="preserve">, 88(1), 1–18. doi.org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VirusTC. (2026). </w:t>
      </w:r>
      <w:r w:rsidDel="00000000" w:rsidR="00000000" w:rsidRPr="00000000">
        <w:rPr>
          <w:i w:val="1"/>
          <w:iCs w:val="1"/>
          <w:rtl w:val="0"/>
        </w:rPr>
        <w:t xml:space="preserve">Corte-Sal-Branco-1500mg institutional product monograph</w:t>
      </w:r>
      <w:r w:rsidDel="00000000" w:rsidR="00000000" w:rsidRPr="00000000">
        <w:rPr>
          <w:rtl w:val="0"/>
        </w:rPr>
        <w:t xml:space="preserve"> (Document ID: CL-MONO-2026-v1.4). White Willow Bark Biophysical Mechanism Registry. https://github.com/VirusTC/Corte-Sal-Branco-1500mg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Would you like me to generate a complementary </w:t>
      </w:r>
      <w:r w:rsidDel="00000000" w:rsidR="00000000" w:rsidRPr="00000000">
        <w:rPr>
          <w:b w:val="1"/>
          <w:bCs w:val="1"/>
          <w:rtl w:val="0"/>
        </w:rPr>
        <w:t xml:space="preserve">computational modeling spreadsheet (.csv)</w:t>
      </w:r>
      <w:r w:rsidDel="00000000" w:rsidR="00000000" w:rsidRPr="00000000">
        <w:rPr>
          <w:rtl w:val="0"/>
        </w:rPr>
        <w:t xml:space="preserve"> mapping the exact </w:t>
      </w:r>
      <w:r w:rsidDel="00000000" w:rsidR="00000000" w:rsidRPr="00000000">
        <w:rPr>
          <w:b w:val="1"/>
          <w:bCs w:val="1"/>
          <w:rtl w:val="0"/>
        </w:rPr>
        <w:t xml:space="preserve">dipole vectors and polarizability metrics</w:t>
      </w:r>
      <w:r w:rsidDel="00000000" w:rsidR="00000000" w:rsidRPr="00000000">
        <w:rPr>
          <w:rtl w:val="0"/>
        </w:rPr>
        <w:t xml:space="preserve"> for the individual salicin and salicylic acid molecular structures, or should we compile the formal </w:t>
      </w:r>
      <w:r w:rsidDel="00000000" w:rsidR="00000000" w:rsidRPr="00000000">
        <w:rPr>
          <w:b w:val="1"/>
          <w:bCs w:val="1"/>
          <w:rtl w:val="0"/>
        </w:rPr>
        <w:t xml:space="preserve">4-Cole-Cole relaxation curves</w:t>
      </w:r>
      <w:r w:rsidDel="00000000" w:rsidR="00000000" w:rsidRPr="00000000">
        <w:rPr>
          <w:rtl w:val="0"/>
        </w:rPr>
        <w:t xml:space="preserve"> for the vascular endothelium during thermal dispersal?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