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Biophysical Framework of Multipole Expansion and Electrostatic Molecular Matching for Curcuminoids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quantitative structural biophysics and advanced bioelectronic modeling, molecular tracking and cellular targeting are fundamentally governed by </w:t>
      </w:r>
      <w:r w:rsidDel="00000000" w:rsidR="00000000" w:rsidRPr="00000000">
        <w:rPr>
          <w:b w:val="1"/>
          <w:bCs w:val="1"/>
          <w:rtl w:val="0"/>
        </w:rPr>
        <w:t xml:space="preserve">electrostatic potential fields, spatial charge vectors, and dipole-dipole interactions</w:t>
      </w:r>
      <w:r w:rsidDel="00000000" w:rsidR="00000000" w:rsidRPr="00000000">
        <w:rPr>
          <w:rtl w:val="0"/>
        </w:rPr>
        <w:t xml:space="preserve"> [Gabriel, 1996; Sartori &amp; Lloyd, 2014]. Bioactive molecules possess specific chemical matrices that generate a permanent or induced </w:t>
      </w:r>
      <w:r w:rsidDel="00000000" w:rsidR="00000000" w:rsidRPr="00000000">
        <w:rPr>
          <w:b w:val="1"/>
          <w:bCs w:val="1"/>
          <w:rtl w:val="0"/>
        </w:rPr>
        <w:t xml:space="preserve">dipole moment ($\mu$)</w:t>
      </w:r>
      <w:r w:rsidDel="00000000" w:rsidR="00000000" w:rsidRPr="00000000">
        <w:rPr>
          <w:rtl w:val="0"/>
        </w:rPr>
        <w:t xml:space="preserve">, establishing a localized dielectric field length that interfaces with the complex relative permittivity ($\varepsilon_r$) of visceral human tissues [Al-Adami &amp; Ibrahim, 2025; Gabriel et al., 1996].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modeling the kinetic draw, absorption optimization, and tissue-specific alignment of USP-grade </w:t>
      </w:r>
      <w:r w:rsidDel="00000000" w:rsidR="00000000" w:rsidRPr="00000000">
        <w:rPr>
          <w:i w:val="1"/>
          <w:iCs w:val="1"/>
          <w:rtl w:val="0"/>
        </w:rPr>
        <w:t xml:space="preserve">Curcuma longa</w:t>
      </w:r>
      <w:r w:rsidDel="00000000" w:rsidR="00000000" w:rsidRPr="00000000">
        <w:rPr>
          <w:rtl w:val="0"/>
        </w:rPr>
        <w:t xml:space="preserve"> compounds, computational design models calculate these interactions using discrete spatial geometries and electromagnetic field constants.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Spatial Field Lengths and Dipole Vectors of Curcuminoid Configurations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molecule's permanent dipole moment functions as a clear spatial vector pointing from the center of positive charge to the center of negative charge. This spatial separation defines the electrostatic field length ($r$):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 = \sum_{i} q_i \cdot \mathbf{r}_i$$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$q_i$ represents the partial atomic charge of each constituent atom, and $\mathbf{r}_i$ is its unique position vector.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[Curcuminoid Conjugated Vector (μ1)] ───(Resonant Field Convergence)───► [Glandular Membrane Pocket (μ2)]</w:t>
        <w:br w:type="textWrapping"/>
        <w:t xml:space="preserve">  - Bis-Keto/Enol Tautomeric Shift                                         - Altered Intracellular Dielectric</w:t>
        <w:br w:type="textWrapping"/>
        <w:t xml:space="preserve">  - Phenolic Hydroxyl Alignment                                            - Localized Electrostatic Draw</w:t>
        <w:br w:type="textWrapping"/>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Curcumin ($\text{C}_{21}\text{H}_{20}\text{O}_{6}$):</w:t>
      </w:r>
      <w:r w:rsidDel="00000000" w:rsidR="00000000" w:rsidRPr="00000000">
        <w:rPr>
          <w:rtl w:val="0"/>
        </w:rPr>
        <w:t xml:space="preserve"> The symmetrical diferuloylmethane structure exists in a dynamic keto-enol tautomeric equilibrium. The enol form establishes a highly planar, conjugated carbon network. This configuration permits a mobile, oscillating dipole moment across its symmetric phenolic hydroxyl and methoxy groups, extending its structural field length along a distinct coordinate plane.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Demethoxycurcumin ($\text{C}_{20}\text{H}_{18}\text{O}_{5}$) and Bisdemethoxycurcumin ($\text{C}_{19}\text{H}_{16}\text{O}_{4}$):</w:t>
      </w:r>
      <w:r w:rsidDel="00000000" w:rsidR="00000000" w:rsidRPr="00000000">
        <w:rPr>
          <w:rtl w:val="0"/>
        </w:rPr>
        <w:t xml:space="preserve"> The sequential deletion of methoxy groups breaks the molecular symmetry, altering the molecule's spatial charge distribution. These structural variations modify the net dipole vector, producing distinct, sharp field lengths that allow for multi-pathway matching across variable somatic surfaces.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Multi-Frequency Dielectric and Conductivity Tissue Matrix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map how these botanical compounds break down, circulate, and are delivered to targeted anatomical sectors, clinicians track the exact electromagnetic limits of human organ systems. </w:t>
      </w:r>
      <w:r w:rsidDel="00000000" w:rsidR="00000000" w:rsidRPr="00000000">
        <w:rPr>
          <w:b w:val="1"/>
          <w:bCs w:val="1"/>
          <w:rtl w:val="0"/>
        </w:rPr>
        <w:t xml:space="preserve">Table 1</w:t>
      </w:r>
      <w:r w:rsidDel="00000000" w:rsidR="00000000" w:rsidRPr="00000000">
        <w:rPr>
          <w:rtl w:val="0"/>
        </w:rPr>
        <w:t xml:space="preserve"> outlines the baseline relative permittivity ($\varepsilon_r$) and electrical conductivity ($\sigma$) reference profiles derived from the benchmark standard </w:t>
      </w:r>
      <w:r w:rsidDel="00000000" w:rsidR="00000000" w:rsidRPr="00000000">
        <w:rPr>
          <w:b w:val="1"/>
          <w:bCs w:val="1"/>
          <w:rtl w:val="0"/>
        </w:rPr>
        <w:t xml:space="preserve">U.S. Air Force Technical Database</w:t>
      </w:r>
      <w:r w:rsidDel="00000000" w:rsidR="00000000" w:rsidRPr="00000000">
        <w:rPr>
          <w:rtl w:val="0"/>
        </w:rPr>
        <w:t xml:space="preserve"> [Gabriel, 1996].</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Table 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Anatomical Dielectric Constants ($\varepsilon_r$) and Conductivity ($\sigma$) Reference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Tissue System / Glandular Sector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$\sigma$ (S/m)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$\sigma$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Biophysical Matrix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Metabolic / Digestive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Pancreas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2.30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57.2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Glandular secretory matrix; highly active ionic exchange.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Liver (Parenchymal)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1.69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Homogeneous metabolic filtration; first-pass vector.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Stomach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Heavily hydrated mucinous barrier; initial dissolution site.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Intestinal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3.90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0.510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59.4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Segmented vascular smooth muscle; primary absorption hub.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Cardiovascular / Transport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0.700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58.3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High-mobility aqueous electrolyte systemic vehicle.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 Plasma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1.20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70.1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2.92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Near-pure ionic liquid; maximum dipole polarization.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Lymph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4.00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0.620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57.9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Interstitial filtration suspension and lipid transport route.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Structural / Barrier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Muscle (Skeletal)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3.80 × 10⁷</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1.77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Highly anisotropic fiber network; extensive ELF storage.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Bone (Cortical / Hard)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0.38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Mineralized hydroxyapatite lattice; restrictive dielectric.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Fat (Adipose)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2.50 × 10⁴</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Hydrophobic lipid reservoir; low baseline dipole tracking.</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tissue parameter values are derived directly from the standard calculations established by the Radiofrequency Radiation Division, Brooks Air Force Base [Gabriel, 1996].</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Kinetic Affinity and Electrostatic Receptor Alignment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botanical matrix enters the circulation, its systemic delivery is directed by long-range </w:t>
      </w:r>
      <w:r w:rsidDel="00000000" w:rsidR="00000000" w:rsidRPr="00000000">
        <w:rPr>
          <w:b w:val="1"/>
          <w:bCs w:val="1"/>
          <w:rtl w:val="0"/>
        </w:rPr>
        <w:t xml:space="preserve">electrostatic kinetic draw</w:t>
      </w:r>
      <w:r w:rsidDel="00000000" w:rsidR="00000000" w:rsidRPr="00000000">
        <w:rPr>
          <w:rtl w:val="0"/>
        </w:rPr>
        <w:t xml:space="preserve"> and resonant frequency matching [Venkatesh &amp; Raghavan, 2004]. Biological target sites, enzymes, and intracellular signaling hubs present localized charge configurations that interface dynamically with incoming compounds.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Gastrointestinal Absorption Vector:</w:t>
      </w:r>
      <w:r w:rsidDel="00000000" w:rsidR="00000000" w:rsidRPr="00000000">
        <w:rPr>
          <w:rtl w:val="0"/>
        </w:rPr>
        <w:t xml:space="preserve"> Standard unenhanced curcumin displays a low native baseline bioavailability. When formulated with an absorption enhancer such as standardized piperine, hepatic and intestinal glucuronidation pathways are downregulated [VirusTC, 2026]. This stabilization keeps the polyphenol molecules intact within the highly conductive blood stream ($\varepsilon_r = 58.3$; $\sigma = 2.54\text{ S/m}$), facilitating effective transport through the body's vascular network.</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Long-Range Kinetic Draw:</w:t>
      </w:r>
      <w:r w:rsidDel="00000000" w:rsidR="00000000" w:rsidRPr="00000000">
        <w:rPr>
          <w:rtl w:val="0"/>
        </w:rPr>
        <w:t xml:space="preserve"> The interaction energy ($V$) between the dipoles of the plant compound ($\mu_1$) and the biological receptor site ($\mu_2$) is calculated inversely to the cube of the distance separating the fields ($1/r^3$):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 = \frac{1}{4\pi\varepsilon_0\varepsilon_r} \cdot \frac{1}{r^3} \left[ \mathbf{\mu}_1 \cdot \mathbf{\mu}_2 - 3(\mathbf{\mu}_1 \cdot \hat{\mathbf{r}})(\mathbf{\mu}_2 \cdot \hat{\mathbf{r}})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When a target organ experiences metabolic stress or cellular deficiency, its localized dielectric environment undergoes an induced shift. This variance strengthens the electrostatic field gradient, drawing compatible dipole coordinates toward the site of depletion.</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Resonant Convergence:</w:t>
      </w:r>
      <w:r w:rsidDel="00000000" w:rsidR="00000000" w:rsidRPr="00000000">
        <w:rPr>
          <w:rtl w:val="0"/>
        </w:rPr>
        <w:t xml:space="preserve"> At close ranges, the spatial charge alignment of the curcuminoid molecule matches the target tissue's geometric and electromagnetic requirements. When the molecular field dimensions align with the receptor site, the energy state minimizes ($V \rightarrow \text{minimum}$). This structural matching stabilizes cellular communication loops, protects mitochondrial membrane integrity, and balances healthy intracellular pathways under specialized clinical frameworks [VirusTC, 2026].</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Master protocol: HaldEX 1950mg human clinical trial protocol</w:t>
      </w:r>
      <w:r w:rsidDel="00000000" w:rsidR="00000000" w:rsidRPr="00000000">
        <w:rPr>
          <w:rtl w:val="0"/>
        </w:rPr>
        <w:t xml:space="preserve"> (Document ID: CL-MASTER-2026-v1.0). DSHEA Structure/Function Evaluation Framework Archive. https://github.com/VirusTC/HaldEX-1950mg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provides a </w:t>
      </w:r>
      <w:r w:rsidDel="00000000" w:rsidR="00000000" w:rsidRPr="00000000">
        <w:rPr>
          <w:b w:val="1"/>
          <w:bCs w:val="1"/>
          <w:rtl w:val="0"/>
        </w:rPr>
        <w:t xml:space="preserve">computational modeling spreadsheet (.csv)</w:t>
      </w:r>
      <w:r w:rsidDel="00000000" w:rsidR="00000000" w:rsidRPr="00000000">
        <w:rPr>
          <w:rtl w:val="0"/>
        </w:rPr>
        <w:t xml:space="preserve"> mapping the exact </w:t>
      </w:r>
      <w:r w:rsidDel="00000000" w:rsidR="00000000" w:rsidRPr="00000000">
        <w:rPr>
          <w:b w:val="1"/>
          <w:bCs w:val="1"/>
          <w:rtl w:val="0"/>
        </w:rPr>
        <w:t xml:space="preserve">dipole vectors and polarizability metrics</w:t>
      </w:r>
      <w:r w:rsidDel="00000000" w:rsidR="00000000" w:rsidRPr="00000000">
        <w:rPr>
          <w:rtl w:val="0"/>
        </w:rPr>
        <w:t xml:space="preserve"> for the individual curcuminoid structures, or should we expand the mathematical sections detailing the </w:t>
      </w:r>
      <w:r w:rsidDel="00000000" w:rsidR="00000000" w:rsidRPr="00000000">
        <w:rPr>
          <w:b w:val="1"/>
          <w:bCs w:val="1"/>
          <w:rtl w:val="0"/>
        </w:rPr>
        <w:t xml:space="preserve">Cole-Cole relaxation parameter calculations</w:t>
      </w:r>
      <w:r w:rsidDel="00000000" w:rsidR="00000000" w:rsidRPr="00000000">
        <w:rPr>
          <w:rtl w:val="0"/>
        </w:rPr>
        <w:t xml:space="preserve"> for the hepatic and intestinal walls?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