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C4CC6" w:rsidRDefault="00000000">
      <w:pPr>
        <w:pStyle w:val="Heading2"/>
        <w:spacing w:after="240"/>
        <w:rPr>
          <w:sz w:val="30"/>
          <w:szCs w:val="30"/>
        </w:rPr>
      </w:pPr>
      <w:r>
        <w:rPr>
          <w:sz w:val="30"/>
          <w:szCs w:val="30"/>
        </w:rPr>
        <w:t>Institutional Review Board (IRB) Clinical Protocol</w:t>
      </w:r>
    </w:p>
    <w:p w14:paraId="00000002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Protocol Status:</w:t>
      </w:r>
      <w:r>
        <w:t xml:space="preserve"> Single-Patient Expanded Access (Compassionate Use Framework)</w:t>
      </w:r>
    </w:p>
    <w:p w14:paraId="00000003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Authorized Phase Duration:</w:t>
      </w:r>
      <w:r>
        <w:t xml:space="preserve"> 6 Months (Consecutive)</w:t>
      </w:r>
    </w:p>
    <w:p w14:paraId="00000004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Target Physiological Endpoint:</w:t>
      </w:r>
      <w:r>
        <w:t xml:space="preserve"> Reversal of Nutrient Deficiency &amp; Resolution of Cellular Oxidative Stress</w:t>
      </w:r>
    </w:p>
    <w:p w14:paraId="00000005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rPr>
          <w:b/>
          <w:bCs/>
        </w:rPr>
        <w:t>Financial Status:</w:t>
      </w:r>
      <w:r>
        <w:t xml:space="preserve"> Voluntary Enrollment; 100% Insurer Funded</w:t>
      </w:r>
    </w:p>
    <w:p w14:paraId="7A91421A" w14:textId="77777777" w:rsidR="000811E4" w:rsidRDefault="00000000">
      <w:pPr>
        <w:pStyle w:val="Heading2"/>
        <w:spacing w:after="240"/>
      </w:pPr>
      <w:r>
        <w:pict w14:anchorId="1F1C3A6C">
          <v:rect id="_x0000_i1034" style="width:0;height:1.5pt" o:hralign="center" o:bullet="t" o:hrstd="t" o:hr="t" fillcolor="#a0a0a0" stroked="f"/>
        </w:pict>
      </w:r>
    </w:p>
    <w:p w14:paraId="5E4CAA02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5CBF4EA8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5F2DD75A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5B993F20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0C978A9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39AC0CD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64F3A314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0D035DF3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5B20DCDB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36452A9B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5305D208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D268064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72222A28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6E368270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4712245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634DE79A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1074999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00000006" w14:textId="3EBAD843" w:rsidR="00CC4CC6" w:rsidRDefault="00000000">
      <w:pPr>
        <w:pStyle w:val="Heading2"/>
        <w:spacing w:after="240"/>
        <w:rPr>
          <w:sz w:val="30"/>
          <w:szCs w:val="30"/>
        </w:rPr>
      </w:pPr>
      <w:r>
        <w:rPr>
          <w:sz w:val="30"/>
          <w:szCs w:val="30"/>
        </w:rPr>
        <w:lastRenderedPageBreak/>
        <w:t>I. Rationale &amp; Synergistic Mechanisms</w:t>
      </w:r>
    </w:p>
    <w:p w14:paraId="00000007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This clinical protocol establishes a managed, 6-month single-patient expanded access framework utilizing an unadulterated, plant-derived molecular approach to address profound systemic nutrient deficiencies and protect cellular integrity from chronic secondary metabolic degradation.</w:t>
      </w:r>
    </w:p>
    <w:p w14:paraId="00000008" w14:textId="77777777" w:rsidR="00CC4CC6" w:rsidRDefault="00CC4CC6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40" w:right="240"/>
      </w:pPr>
    </w:p>
    <w:p w14:paraId="00000009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ind w:left="240" w:right="240"/>
        <w:rPr>
          <w:rFonts w:ascii="Courier" w:eastAsia="Courier" w:hAnsi="Courier" w:cs="Courier"/>
          <w:shd w:val="clear" w:color="auto" w:fill="F4F6F7"/>
        </w:rPr>
      </w:pPr>
      <w:r>
        <w:rPr>
          <w:rFonts w:ascii="Courier" w:eastAsia="Courier" w:hAnsi="Courier" w:cs="Courier"/>
          <w:shd w:val="clear" w:color="auto" w:fill="F4F6F7"/>
        </w:rPr>
        <w:t xml:space="preserve">                      [ Initial Patient Evaluation ]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              (Severe Clinical Depletion)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                           |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+--------------------------+--------------------------+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 xml:space="preserve">         |                                                     |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v                                                     </w:t>
      </w:r>
      <w:proofErr w:type="spellStart"/>
      <w:r>
        <w:rPr>
          <w:rFonts w:ascii="Courier" w:eastAsia="Courier" w:hAnsi="Courier" w:cs="Courier"/>
          <w:shd w:val="clear" w:color="auto" w:fill="F4F6F7"/>
        </w:rPr>
        <w:t>v</w:t>
      </w:r>
      <w:proofErr w:type="spellEnd"/>
      <w:r>
        <w:rPr>
          <w:rFonts w:ascii="Courier" w:eastAsia="Courier" w:hAnsi="Courier" w:cs="Courier"/>
          <w:shd w:val="clear" w:color="auto" w:fill="F4F6F7"/>
        </w:rPr>
        <w:br/>
        <w:t>[ Primary Deficiency Pathway ]                       [ Integrative Immune Support ]</w:t>
      </w:r>
      <w:r>
        <w:rPr>
          <w:rFonts w:ascii="Courier" w:eastAsia="Courier" w:hAnsi="Courier" w:cs="Courier"/>
          <w:shd w:val="clear" w:color="auto" w:fill="F4F6F7"/>
        </w:rPr>
        <w:br/>
        <w:t>(Selected Plant-Derived Active Core)                 (</w:t>
      </w:r>
      <w:proofErr w:type="spellStart"/>
      <w:r>
        <w:rPr>
          <w:rFonts w:ascii="Courier" w:eastAsia="Courier" w:hAnsi="Courier" w:cs="Courier"/>
          <w:shd w:val="clear" w:color="auto" w:fill="F4F6F7"/>
        </w:rPr>
        <w:t>HaldEX</w:t>
      </w:r>
      <w:proofErr w:type="spellEnd"/>
      <w:r>
        <w:rPr>
          <w:rFonts w:ascii="Courier" w:eastAsia="Courier" w:hAnsi="Courier" w:cs="Courier"/>
          <w:shd w:val="clear" w:color="auto" w:fill="F4F6F7"/>
        </w:rPr>
        <w:t xml:space="preserve"> 1950mg Curcuma Matrix)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 xml:space="preserve">         |                                                     |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+--------------------------+--------------------------+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                           |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                           v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            [ 6-Month Monitored Lifecycle ]</w:t>
      </w:r>
      <w:r>
        <w:rPr>
          <w:rFonts w:ascii="Courier" w:eastAsia="Courier" w:hAnsi="Courier" w:cs="Courier"/>
          <w:shd w:val="clear" w:color="auto" w:fill="F4F6F7"/>
        </w:rPr>
        <w:br/>
        <w:t xml:space="preserve">             (Restored Cellular Homeostasis &amp; Lipid Control)</w:t>
      </w:r>
      <w:r>
        <w:rPr>
          <w:rFonts w:ascii="Courier" w:eastAsia="Courier" w:hAnsi="Courier" w:cs="Courier"/>
          <w:shd w:val="clear" w:color="auto" w:fill="F4F6F7"/>
        </w:rPr>
        <w:br/>
      </w:r>
    </w:p>
    <w:p w14:paraId="0000000A" w14:textId="77777777" w:rsidR="00CC4CC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Targeted Deficiency Reversal:</w:t>
      </w:r>
      <w:r>
        <w:t xml:space="preserve"> Patients suffering from advanced metabolic depletion, cachexia, or gastrointestinal malabsorption often display profound systemic nutrient deficits. Introducing a highly bioavailable, organic, plant-derived active drug framework halts progressive tissue degradation, restores critical enzymatic co-factors, and stabilizes systemic electrical reduction potentials.</w:t>
      </w:r>
    </w:p>
    <w:p w14:paraId="0000000B" w14:textId="77777777" w:rsidR="00CC4CC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 xml:space="preserve">Advanced Cellular Defense via </w:t>
      </w:r>
      <w:proofErr w:type="spellStart"/>
      <w:r>
        <w:rPr>
          <w:b/>
          <w:bCs/>
        </w:rPr>
        <w:t>HaldEX</w:t>
      </w:r>
      <w:proofErr w:type="spellEnd"/>
      <w:r>
        <w:rPr>
          <w:b/>
          <w:bCs/>
        </w:rPr>
        <w:t xml:space="preserve"> 1950mg:</w:t>
      </w:r>
      <w:r>
        <w:t xml:space="preserve"> </w:t>
      </w:r>
      <w:proofErr w:type="spellStart"/>
      <w:r>
        <w:rPr>
          <w:b/>
          <w:bCs/>
        </w:rPr>
        <w:t>HaldEX</w:t>
      </w:r>
      <w:proofErr w:type="spellEnd"/>
      <w:r>
        <w:rPr>
          <w:b/>
          <w:bCs/>
        </w:rPr>
        <w:t xml:space="preserve"> 1950mg</w:t>
      </w:r>
      <w:r>
        <w:t xml:space="preserve"> delivers a highly concentrated, unadulterated </w:t>
      </w:r>
      <w:r>
        <w:rPr>
          <w:i/>
          <w:iCs/>
        </w:rPr>
        <w:t>Curcuma longa</w:t>
      </w:r>
      <w:r>
        <w:t xml:space="preserve"> matrix enhanced with a standardized piperine infrastructure (</w:t>
      </w:r>
      <w:proofErr w:type="spellStart"/>
      <w:r>
        <w:rPr>
          <w:i/>
          <w:iCs/>
        </w:rPr>
        <w:t>BioPerine</w:t>
      </w:r>
      <w:proofErr w:type="spellEnd"/>
      <w:r>
        <w:t>). While standard raw curcuminoids display low oral bioavailability ($F \</w:t>
      </w:r>
      <w:proofErr w:type="spellStart"/>
      <w:r>
        <w:t>approx</w:t>
      </w:r>
      <w:proofErr w:type="spellEnd"/>
      <w:r>
        <w:t xml:space="preserve"> 0.01$), the integrated piperine downregulates intestinal glucuronidation to optimize bioavailability by 2000% ($F = 0.20$), maximizing deep tissue retention. </w:t>
      </w:r>
      <w:proofErr w:type="spellStart"/>
      <w:r>
        <w:t>HaldEX</w:t>
      </w:r>
      <w:proofErr w:type="spellEnd"/>
      <w:r>
        <w:t xml:space="preserve"> 1950mg quenches reactive oxygen species (ROS), modulates white blood cell chemotaxis, and downregulates upstream transcription factors (such as NF-kB) to preserve cell membrane fluidity and shield healthy tissues during intensive nutritional loading.</w:t>
      </w:r>
    </w:p>
    <w:p w14:paraId="0000000C" w14:textId="77777777" w:rsidR="00CC4CC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The Plant-Derived Sparing Framework:</w:t>
      </w:r>
      <w:r>
        <w:t xml:space="preserve"> By relying exclusively on 100% organic, plant-derived molecular ecosystems, this framework eliminates the risks of residual processing contaminants or manufacturing impurities. The native plant-based matrices ensure a gentle, sustained metabolic assimilation profile that actively avoids the sharp gastrointestinal mucosa irritation or erratic plasma spikes typical of </w:t>
      </w:r>
      <w:proofErr w:type="gramStart"/>
      <w:r>
        <w:t>stripped</w:t>
      </w:r>
      <w:proofErr w:type="gramEnd"/>
      <w:r>
        <w:t xml:space="preserve"> chemical isolates.</w:t>
      </w:r>
    </w:p>
    <w:p w14:paraId="0000000D" w14:textId="77777777" w:rsidR="00CC4CC6" w:rsidRDefault="00000000">
      <w:pPr>
        <w:pStyle w:val="Heading2"/>
        <w:spacing w:after="240"/>
        <w:rPr>
          <w:sz w:val="30"/>
          <w:szCs w:val="30"/>
        </w:rPr>
      </w:pPr>
      <w:r>
        <w:pict w14:anchorId="10139D44">
          <v:rect id="_x0000_i1026" style="width:0;height:1.5pt" o:hralign="center" o:hrstd="t" o:hr="t" fillcolor="#a0a0a0" stroked="f"/>
        </w:pict>
      </w:r>
      <w:r>
        <w:rPr>
          <w:sz w:val="30"/>
          <w:szCs w:val="30"/>
        </w:rPr>
        <w:lastRenderedPageBreak/>
        <w:t>II. Mandatory Primary Deficiency Pathway Selection</w:t>
      </w:r>
    </w:p>
    <w:p w14:paraId="0000000E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The managing clinician must select and verify the specific organic, plant-derived USP-grade active therapeutic framework to serve as the core deficiency pathway for this 6-month protocol:</w:t>
      </w:r>
    </w:p>
    <w:p w14:paraId="0000000F" w14:textId="77777777" w:rsidR="00CC4CC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AlnayaSN</w:t>
      </w:r>
      <w:proofErr w:type="spellEnd"/>
      <w:r>
        <w:rPr>
          <w:b/>
          <w:bCs/>
        </w:rPr>
        <w:t>™ (Organic Nicotinic Acid / Niacin 500mg):</w:t>
      </w:r>
      <w:r>
        <w:rPr>
          <w:color w:val="000000"/>
        </w:rPr>
        <w:br/>
      </w:r>
      <w:r>
        <w:t>A 100% organic, plant-derived formulation delivering a standardized nicotinic acid matrix. Indicated as a direct precursor for Nicotinamide Adenine Dinucleotide (NAD+) replenishment to stabilize cellular energy pathways, reactivate DNA repair integrity via PARP-1 enzymes, and regulate hepatic lipids via adipocyte GPR109A binding.</w:t>
      </w:r>
    </w:p>
    <w:p w14:paraId="00000010" w14:textId="77777777" w:rsidR="00CC4CC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TsinKX</w:t>
      </w:r>
      <w:proofErr w:type="spellEnd"/>
      <w:r>
        <w:rPr>
          <w:b/>
          <w:bCs/>
        </w:rPr>
        <w:t xml:space="preserve"> (Organic </w:t>
      </w:r>
      <w:proofErr w:type="spellStart"/>
      <w:r>
        <w:rPr>
          <w:b/>
          <w:bCs/>
        </w:rPr>
        <w:t>Zincum</w:t>
      </w:r>
      <w:proofErr w:type="spellEnd"/>
      <w:r>
        <w:rPr>
          <w:b/>
          <w:bCs/>
        </w:rPr>
        <w:t xml:space="preserve"> Gluconate 100mg):</w:t>
      </w:r>
      <w:r>
        <w:rPr>
          <w:color w:val="000000"/>
        </w:rPr>
        <w:br/>
      </w:r>
      <w:r>
        <w:t xml:space="preserve">A 100% organic, plant-derived USP-grade </w:t>
      </w:r>
      <w:proofErr w:type="spellStart"/>
      <w:r>
        <w:t>zincum</w:t>
      </w:r>
      <w:proofErr w:type="spellEnd"/>
      <w:r>
        <w:t xml:space="preserve"> gluconate formulation. Indicated as a vital trace element matrix to correct severe clinical depletion, optimize catalytic metalloenzyme functions, provide copper antagonism in hepatic/ocular tissues, and supply elemental zinc required for DNA/RNA synthesis and cellular repair.</w:t>
      </w:r>
    </w:p>
    <w:p w14:paraId="0BC54E1C" w14:textId="77777777" w:rsidR="000811E4" w:rsidRDefault="00000000">
      <w:pPr>
        <w:pStyle w:val="Heading2"/>
      </w:pPr>
      <w:r>
        <w:pict w14:anchorId="57971EC6">
          <v:rect id="_x0000_i1037" style="width:0;height:1.5pt" o:hralign="center" o:bullet="t" o:hrstd="t" o:hr="t" fillcolor="#a0a0a0" stroked="f"/>
        </w:pict>
      </w:r>
    </w:p>
    <w:p w14:paraId="4EF28A05" w14:textId="77777777" w:rsidR="000811E4" w:rsidRDefault="000811E4">
      <w:pPr>
        <w:pStyle w:val="Heading2"/>
        <w:rPr>
          <w:sz w:val="30"/>
          <w:szCs w:val="30"/>
        </w:rPr>
      </w:pPr>
    </w:p>
    <w:p w14:paraId="75707576" w14:textId="77777777" w:rsidR="000811E4" w:rsidRDefault="000811E4">
      <w:pPr>
        <w:pStyle w:val="Heading2"/>
        <w:rPr>
          <w:sz w:val="30"/>
          <w:szCs w:val="30"/>
        </w:rPr>
      </w:pPr>
    </w:p>
    <w:p w14:paraId="069A59CB" w14:textId="77777777" w:rsidR="000811E4" w:rsidRDefault="000811E4">
      <w:pPr>
        <w:pStyle w:val="Heading2"/>
        <w:rPr>
          <w:sz w:val="30"/>
          <w:szCs w:val="30"/>
        </w:rPr>
      </w:pPr>
    </w:p>
    <w:p w14:paraId="6C1BAAE9" w14:textId="77777777" w:rsidR="000811E4" w:rsidRDefault="000811E4">
      <w:pPr>
        <w:pStyle w:val="Heading2"/>
        <w:rPr>
          <w:sz w:val="30"/>
          <w:szCs w:val="30"/>
        </w:rPr>
      </w:pPr>
    </w:p>
    <w:p w14:paraId="37B20A73" w14:textId="77777777" w:rsidR="000811E4" w:rsidRDefault="000811E4">
      <w:pPr>
        <w:pStyle w:val="Heading2"/>
        <w:rPr>
          <w:sz w:val="30"/>
          <w:szCs w:val="30"/>
        </w:rPr>
      </w:pPr>
    </w:p>
    <w:p w14:paraId="0BEF1602" w14:textId="77777777" w:rsidR="000811E4" w:rsidRDefault="000811E4">
      <w:pPr>
        <w:pStyle w:val="Heading2"/>
        <w:rPr>
          <w:sz w:val="30"/>
          <w:szCs w:val="30"/>
        </w:rPr>
      </w:pPr>
    </w:p>
    <w:p w14:paraId="29DD95E4" w14:textId="77777777" w:rsidR="000811E4" w:rsidRDefault="000811E4">
      <w:pPr>
        <w:pStyle w:val="Heading2"/>
        <w:rPr>
          <w:sz w:val="30"/>
          <w:szCs w:val="30"/>
        </w:rPr>
      </w:pPr>
    </w:p>
    <w:p w14:paraId="13B4867D" w14:textId="77777777" w:rsidR="000811E4" w:rsidRDefault="000811E4">
      <w:pPr>
        <w:pStyle w:val="Heading2"/>
        <w:rPr>
          <w:sz w:val="30"/>
          <w:szCs w:val="30"/>
        </w:rPr>
      </w:pPr>
    </w:p>
    <w:p w14:paraId="5D4217FA" w14:textId="77777777" w:rsidR="000811E4" w:rsidRDefault="000811E4">
      <w:pPr>
        <w:pStyle w:val="Heading2"/>
        <w:rPr>
          <w:sz w:val="30"/>
          <w:szCs w:val="30"/>
        </w:rPr>
      </w:pPr>
    </w:p>
    <w:p w14:paraId="20FE4623" w14:textId="77777777" w:rsidR="000811E4" w:rsidRDefault="000811E4">
      <w:pPr>
        <w:pStyle w:val="Heading2"/>
        <w:rPr>
          <w:sz w:val="30"/>
          <w:szCs w:val="30"/>
        </w:rPr>
      </w:pPr>
    </w:p>
    <w:p w14:paraId="79E89AA7" w14:textId="77777777" w:rsidR="000811E4" w:rsidRDefault="000811E4">
      <w:pPr>
        <w:pStyle w:val="Heading2"/>
        <w:rPr>
          <w:sz w:val="30"/>
          <w:szCs w:val="30"/>
        </w:rPr>
      </w:pPr>
    </w:p>
    <w:p w14:paraId="74CACE08" w14:textId="77777777" w:rsidR="000811E4" w:rsidRDefault="000811E4">
      <w:pPr>
        <w:pStyle w:val="Heading2"/>
        <w:rPr>
          <w:sz w:val="30"/>
          <w:szCs w:val="30"/>
        </w:rPr>
      </w:pPr>
    </w:p>
    <w:p w14:paraId="27BBE456" w14:textId="77777777" w:rsidR="000811E4" w:rsidRDefault="000811E4">
      <w:pPr>
        <w:pStyle w:val="Heading2"/>
        <w:rPr>
          <w:sz w:val="30"/>
          <w:szCs w:val="30"/>
        </w:rPr>
      </w:pPr>
    </w:p>
    <w:p w14:paraId="4AFE480D" w14:textId="77777777" w:rsidR="000811E4" w:rsidRDefault="000811E4">
      <w:pPr>
        <w:pStyle w:val="Heading2"/>
        <w:rPr>
          <w:sz w:val="30"/>
          <w:szCs w:val="30"/>
        </w:rPr>
      </w:pPr>
    </w:p>
    <w:p w14:paraId="00000011" w14:textId="6E338EE8" w:rsidR="00CC4CC6" w:rsidRDefault="00000000">
      <w:pPr>
        <w:pStyle w:val="Heading2"/>
        <w:rPr>
          <w:sz w:val="30"/>
          <w:szCs w:val="30"/>
        </w:rPr>
      </w:pPr>
      <w:r>
        <w:rPr>
          <w:sz w:val="30"/>
          <w:szCs w:val="30"/>
        </w:rPr>
        <w:lastRenderedPageBreak/>
        <w:t>III. Standardized Clinical Protocol &amp; Administration</w:t>
      </w:r>
    </w:p>
    <w:p w14:paraId="00000012" w14:textId="77777777" w:rsidR="00CC4CC6" w:rsidRDefault="00CC4CC6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40" w:right="240"/>
        <w:rPr>
          <w:b/>
          <w:bCs/>
          <w:sz w:val="30"/>
          <w:szCs w:val="30"/>
        </w:rPr>
      </w:pPr>
    </w:p>
    <w:p w14:paraId="00000013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ind w:left="240" w:right="240"/>
        <w:rPr>
          <w:rFonts w:ascii="Courier" w:eastAsia="Courier" w:hAnsi="Courier" w:cs="Courier"/>
          <w:shd w:val="clear" w:color="auto" w:fill="F4F6F7"/>
        </w:rPr>
      </w:pPr>
      <w:r>
        <w:rPr>
          <w:rFonts w:ascii="Courier" w:eastAsia="Courier" w:hAnsi="Courier" w:cs="Courier"/>
          <w:shd w:val="clear" w:color="auto" w:fill="F4F6F7"/>
        </w:rPr>
        <w:t>+==============================+========================+==========================================+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>| Botanical Matrix Component   | Unit Standardization   | 24-Hour Administration Schedule          |</w:t>
      </w:r>
      <w:r>
        <w:rPr>
          <w:rFonts w:ascii="Courier" w:eastAsia="Courier" w:hAnsi="Courier" w:cs="Courier"/>
          <w:shd w:val="clear" w:color="auto" w:fill="F4F6F7"/>
        </w:rPr>
        <w:br/>
        <w:t>+==============================+========================+==========================================+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>| Primary Selected Pathway     | Selected Plant-Derived | Titrated per individual clinical need     |</w:t>
      </w:r>
      <w:r>
        <w:rPr>
          <w:rFonts w:ascii="Courier" w:eastAsia="Courier" w:hAnsi="Courier" w:cs="Courier"/>
          <w:shd w:val="clear" w:color="auto" w:fill="F4F6F7"/>
        </w:rPr>
        <w:br/>
        <w:t>| (</w:t>
      </w:r>
      <w:proofErr w:type="spellStart"/>
      <w:r>
        <w:rPr>
          <w:rFonts w:ascii="Courier" w:eastAsia="Courier" w:hAnsi="Courier" w:cs="Courier"/>
          <w:shd w:val="clear" w:color="auto" w:fill="F4F6F7"/>
        </w:rPr>
        <w:t>AlnayaSN</w:t>
      </w:r>
      <w:proofErr w:type="spellEnd"/>
      <w:r>
        <w:rPr>
          <w:rFonts w:ascii="Courier" w:eastAsia="Courier" w:hAnsi="Courier" w:cs="Courier"/>
          <w:shd w:val="clear" w:color="auto" w:fill="F4F6F7"/>
        </w:rPr>
        <w:t xml:space="preserve">™ or </w:t>
      </w:r>
      <w:proofErr w:type="spellStart"/>
      <w:r>
        <w:rPr>
          <w:rFonts w:ascii="Courier" w:eastAsia="Courier" w:hAnsi="Courier" w:cs="Courier"/>
          <w:shd w:val="clear" w:color="auto" w:fill="F4F6F7"/>
        </w:rPr>
        <w:t>TsinKX</w:t>
      </w:r>
      <w:proofErr w:type="spellEnd"/>
      <w:r>
        <w:rPr>
          <w:rFonts w:ascii="Courier" w:eastAsia="Courier" w:hAnsi="Courier" w:cs="Courier"/>
          <w:shd w:val="clear" w:color="auto" w:fill="F4F6F7"/>
        </w:rPr>
        <w:t>)        | USP Drug Core          | (Refer to individual titration curve)    |</w:t>
      </w:r>
      <w:r>
        <w:rPr>
          <w:rFonts w:ascii="Courier" w:eastAsia="Courier" w:hAnsi="Courier" w:cs="Courier"/>
          <w:shd w:val="clear" w:color="auto" w:fill="F4F6F7"/>
        </w:rPr>
        <w:br/>
        <w:t>+------------------------------+------------------------+------------------------------------------+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 xml:space="preserve">| </w:t>
      </w:r>
      <w:proofErr w:type="spellStart"/>
      <w:r>
        <w:rPr>
          <w:rFonts w:ascii="Courier" w:eastAsia="Courier" w:hAnsi="Courier" w:cs="Courier"/>
          <w:shd w:val="clear" w:color="auto" w:fill="F4F6F7"/>
        </w:rPr>
        <w:t>HaldEX</w:t>
      </w:r>
      <w:proofErr w:type="spellEnd"/>
      <w:r>
        <w:rPr>
          <w:rFonts w:ascii="Courier" w:eastAsia="Courier" w:hAnsi="Courier" w:cs="Courier"/>
          <w:shd w:val="clear" w:color="auto" w:fill="F4F6F7"/>
        </w:rPr>
        <w:t xml:space="preserve"> (Enhanced Curcuma)    | 1950 mg Active Blend   | 1 Unit Dose, 1x Daily (With AM Nutrition)|</w:t>
      </w:r>
      <w:r>
        <w:rPr>
          <w:rFonts w:ascii="Courier" w:eastAsia="Courier" w:hAnsi="Courier" w:cs="Courier"/>
          <w:shd w:val="clear" w:color="auto" w:fill="F4F6F7"/>
        </w:rPr>
        <w:br/>
        <w:t>+==============================+========================+==========================================+</w:t>
      </w:r>
      <w:r>
        <w:rPr>
          <w:rFonts w:ascii="Courier" w:eastAsia="Courier" w:hAnsi="Courier" w:cs="Courier"/>
          <w:shd w:val="clear" w:color="auto" w:fill="F4F6F7"/>
        </w:rPr>
        <w:br/>
      </w:r>
    </w:p>
    <w:p w14:paraId="00000014" w14:textId="77777777" w:rsidR="00CC4CC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Administration Matrix:</w:t>
      </w:r>
      <w:r>
        <w:t xml:space="preserve"> Primary organic compounds require precise, protocol-guided titration, with the physical product labels cross-referenced by the pharmacy against internal batch records to verify exact milligram configurations before clinical deployment. The single daily 1950 mg dose of </w:t>
      </w:r>
      <w:proofErr w:type="spellStart"/>
      <w:r>
        <w:t>HaldEX</w:t>
      </w:r>
      <w:proofErr w:type="spellEnd"/>
      <w:r>
        <w:t xml:space="preserve"> must be administered concurrently with the morning dose of the primary deficiency framework to unify systemic absorption curves.</w:t>
      </w:r>
    </w:p>
    <w:p w14:paraId="00000015" w14:textId="77777777" w:rsidR="00CC4CC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Dental Hydroxyapatite Guard:</w:t>
      </w:r>
      <w:r>
        <w:t xml:space="preserve"> To maintain oral structural health during the ingestion of active organic matrices, the patient must perform a mandatory </w:t>
      </w:r>
      <w:r>
        <w:rPr>
          <w:b/>
          <w:bCs/>
        </w:rPr>
        <w:t>5-minute post-dose water rinse</w:t>
      </w:r>
      <w:r>
        <w:t xml:space="preserve"> after every administration.</w:t>
      </w:r>
    </w:p>
    <w:p w14:paraId="00000016" w14:textId="77777777" w:rsidR="00CC4CC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Oral Mucositis Interruption Alert:</w:t>
      </w:r>
      <w:r>
        <w:t xml:space="preserve"> Clinicians must inspect the oral cavity bi-weekly. If the individual presents with active chemotherapy- or radiation-induced Oral Mucositis tracking at a </w:t>
      </w:r>
      <w:r>
        <w:rPr>
          <w:b/>
          <w:bCs/>
        </w:rPr>
        <w:t>WHO Visual Mucositis Grade $\</w:t>
      </w:r>
      <w:proofErr w:type="spellStart"/>
      <w:r>
        <w:rPr>
          <w:b/>
          <w:bCs/>
        </w:rPr>
        <w:t>geq</w:t>
      </w:r>
      <w:proofErr w:type="spellEnd"/>
      <w:r>
        <w:rPr>
          <w:b/>
          <w:bCs/>
        </w:rPr>
        <w:t xml:space="preserve"> 2$</w:t>
      </w:r>
      <w:r>
        <w:t>, administration of the active pathway must be suspended immediately to protect delicate mucosal tissues.</w:t>
      </w:r>
    </w:p>
    <w:p w14:paraId="773442FF" w14:textId="77777777" w:rsidR="000811E4" w:rsidRDefault="00000000">
      <w:pPr>
        <w:pStyle w:val="Heading2"/>
      </w:pPr>
      <w:r>
        <w:pict w14:anchorId="0326E890">
          <v:rect id="_x0000_i1040" style="width:0;height:1.5pt" o:hralign="center" o:bullet="t" o:hrstd="t" o:hr="t" fillcolor="#a0a0a0" stroked="f"/>
        </w:pict>
      </w:r>
    </w:p>
    <w:p w14:paraId="49346297" w14:textId="77777777" w:rsidR="000811E4" w:rsidRDefault="000811E4">
      <w:pPr>
        <w:pStyle w:val="Heading2"/>
        <w:rPr>
          <w:sz w:val="30"/>
          <w:szCs w:val="30"/>
        </w:rPr>
      </w:pPr>
    </w:p>
    <w:p w14:paraId="7F8503A0" w14:textId="77777777" w:rsidR="000811E4" w:rsidRDefault="000811E4">
      <w:pPr>
        <w:pStyle w:val="Heading2"/>
        <w:rPr>
          <w:sz w:val="30"/>
          <w:szCs w:val="30"/>
        </w:rPr>
      </w:pPr>
    </w:p>
    <w:p w14:paraId="04A69121" w14:textId="77777777" w:rsidR="000811E4" w:rsidRDefault="000811E4">
      <w:pPr>
        <w:pStyle w:val="Heading2"/>
        <w:rPr>
          <w:sz w:val="30"/>
          <w:szCs w:val="30"/>
        </w:rPr>
      </w:pPr>
    </w:p>
    <w:p w14:paraId="5C50A29E" w14:textId="77777777" w:rsidR="000811E4" w:rsidRDefault="000811E4">
      <w:pPr>
        <w:pStyle w:val="Heading2"/>
        <w:rPr>
          <w:sz w:val="30"/>
          <w:szCs w:val="30"/>
        </w:rPr>
      </w:pPr>
    </w:p>
    <w:p w14:paraId="485BE425" w14:textId="77777777" w:rsidR="000811E4" w:rsidRDefault="000811E4">
      <w:pPr>
        <w:pStyle w:val="Heading2"/>
        <w:rPr>
          <w:sz w:val="30"/>
          <w:szCs w:val="30"/>
        </w:rPr>
      </w:pPr>
    </w:p>
    <w:p w14:paraId="00000017" w14:textId="1C7B7C4A" w:rsidR="00CC4CC6" w:rsidRDefault="00000000">
      <w:pPr>
        <w:pStyle w:val="Heading2"/>
        <w:rPr>
          <w:sz w:val="30"/>
          <w:szCs w:val="30"/>
        </w:rPr>
      </w:pPr>
      <w:r>
        <w:rPr>
          <w:sz w:val="30"/>
          <w:szCs w:val="30"/>
        </w:rPr>
        <w:lastRenderedPageBreak/>
        <w:t>IV. Safety Monitoring &amp; Mandatory Stopping Criteria</w:t>
      </w:r>
    </w:p>
    <w:p w14:paraId="00000018" w14:textId="77777777" w:rsidR="00CC4CC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Bi-Weekly Metabolic Panels:</w:t>
      </w:r>
      <w:r>
        <w:t xml:space="preserve"> Serum electrolytes, total renal clearance markers, and full blood counts must be logged every 14 days during the first 60 days of the protocol to </w:t>
      </w:r>
      <w:proofErr w:type="gramStart"/>
      <w:r>
        <w:t>monitor for</w:t>
      </w:r>
      <w:proofErr w:type="gramEnd"/>
      <w:r>
        <w:t xml:space="preserve"> malabsorption or induced nutritional shifts. In cases of high-dose </w:t>
      </w:r>
      <w:proofErr w:type="spellStart"/>
      <w:r>
        <w:t>AlnayaSN</w:t>
      </w:r>
      <w:proofErr w:type="spellEnd"/>
      <w:r>
        <w:t>™ deployment, look out for potential intestinal mucosa modifications that accelerate bowel motility and lower the coefficient of fat absorption, which presents clinically as oily or lard-like stools (secondary steatorrhea).</w:t>
      </w:r>
    </w:p>
    <w:p w14:paraId="00000019" w14:textId="77777777" w:rsidR="00CC4CC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Hepatic Function Inclusion &amp; Tracking:</w:t>
      </w:r>
      <w:r>
        <w:t xml:space="preserve"> Screening laboratories and monthly follow-ups must confirm strict compliance with clearance bounds: Serum Alanine Aminotransferase (ALT) and Aspartate Aminotransferase (AST) must remain $\le 1.5 \times$ the Upper Limit of Normal (ULN). Sustained elevations tracking at $\</w:t>
      </w:r>
      <w:proofErr w:type="spellStart"/>
      <w:r>
        <w:t>geq</w:t>
      </w:r>
      <w:proofErr w:type="spellEnd"/>
      <w:r>
        <w:t xml:space="preserve"> 1.5 \times$ to $2 \times$ ULN mandate the immediate, permanent exclusion of </w:t>
      </w:r>
      <w:proofErr w:type="spellStart"/>
      <w:r>
        <w:t>HaldEX</w:t>
      </w:r>
      <w:proofErr w:type="spellEnd"/>
      <w:r>
        <w:t xml:space="preserve"> 1950mg to protect hepatic tissue fields.</w:t>
      </w:r>
    </w:p>
    <w:p w14:paraId="0000001A" w14:textId="77777777" w:rsidR="00CC4CC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Biliary and Medication Exclusions:</w:t>
      </w:r>
      <w:r>
        <w:t xml:space="preserve"> Candidates are immediately excluded if they present with a history of cholelithiasis (gallstones), biliary obstruction, or if they utilize narrow therapeutic window medications due to piperine-driven CYP3A4 clearance inhibition.</w:t>
      </w:r>
    </w:p>
    <w:p w14:paraId="7071E2FD" w14:textId="77777777" w:rsidR="000811E4" w:rsidRDefault="00000000">
      <w:pPr>
        <w:pStyle w:val="Heading2"/>
        <w:spacing w:after="240"/>
      </w:pPr>
      <w:r>
        <w:pict w14:anchorId="76A82DCE">
          <v:rect id="_x0000_i1043" style="width:0;height:1.5pt" o:hralign="center" o:bullet="t" o:hrstd="t" o:hr="t" fillcolor="#a0a0a0" stroked="f"/>
        </w:pict>
      </w:r>
    </w:p>
    <w:p w14:paraId="5A9A1492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729DDBF0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9C8AEC6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0E3C95F6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6DBB33A0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5B6F060E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662EF2B8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6F6EEF2D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13A75037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30A8E5CA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21C143FA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1ACAB1E5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367912B2" w14:textId="77777777" w:rsidR="000811E4" w:rsidRDefault="000811E4">
      <w:pPr>
        <w:pStyle w:val="Heading2"/>
        <w:spacing w:after="240"/>
        <w:rPr>
          <w:sz w:val="30"/>
          <w:szCs w:val="30"/>
        </w:rPr>
      </w:pPr>
    </w:p>
    <w:p w14:paraId="0000001B" w14:textId="6D176B37" w:rsidR="00CC4CC6" w:rsidRDefault="00000000">
      <w:pPr>
        <w:pStyle w:val="Heading2"/>
        <w:spacing w:after="240"/>
        <w:rPr>
          <w:sz w:val="30"/>
          <w:szCs w:val="30"/>
        </w:rPr>
      </w:pPr>
      <w:r>
        <w:rPr>
          <w:sz w:val="30"/>
          <w:szCs w:val="30"/>
        </w:rPr>
        <w:lastRenderedPageBreak/>
        <w:t>V. Patient Informed Consent &amp; Authorization Signatures</w:t>
      </w:r>
    </w:p>
    <w:p w14:paraId="0000001C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>
        <w:t>I acknowledge that my participation in this 6-month integrative organic protocol is completely voluntary. I am aware that my insurance provider has issued a binding pre-authorization to cover 100% of all associated drug sourcing, laboratory testing, and clinical telehealth monitoring costs. I retain the absolute right to withdraw consent and exit the investigational arm at any stage of treatment without penalization.</w:t>
      </w:r>
    </w:p>
    <w:p w14:paraId="0000001D" w14:textId="77777777" w:rsidR="00CC4CC6" w:rsidRDefault="00CC4CC6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240" w:right="240"/>
      </w:pPr>
    </w:p>
    <w:p w14:paraId="0000001E" w14:textId="77777777" w:rsidR="00CC4CC6" w:rsidRDefault="00000000">
      <w:pPr>
        <w:pBdr>
          <w:top w:val="nil"/>
          <w:left w:val="nil"/>
          <w:bottom w:val="nil"/>
          <w:right w:val="nil"/>
          <w:between w:val="nil"/>
        </w:pBdr>
        <w:ind w:left="240" w:right="240"/>
        <w:rPr>
          <w:rFonts w:ascii="Courier" w:eastAsia="Courier" w:hAnsi="Courier" w:cs="Courier"/>
          <w:shd w:val="clear" w:color="auto" w:fill="F4F6F7"/>
        </w:rPr>
      </w:pPr>
      <w:r>
        <w:rPr>
          <w:rFonts w:ascii="Courier" w:eastAsia="Courier" w:hAnsi="Courier" w:cs="Courier"/>
          <w:shd w:val="clear" w:color="auto" w:fill="F4F6F7"/>
        </w:rPr>
        <w:t>________________________________________          __________________</w:t>
      </w:r>
      <w:r>
        <w:rPr>
          <w:rFonts w:ascii="Courier" w:eastAsia="Courier" w:hAnsi="Courier" w:cs="Courier"/>
          <w:shd w:val="clear" w:color="auto" w:fill="F4F6F7"/>
        </w:rPr>
        <w:br/>
        <w:t>Patient Signature                                 Date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>________________________________________          __________________</w:t>
      </w:r>
      <w:r>
        <w:rPr>
          <w:rFonts w:ascii="Courier" w:eastAsia="Courier" w:hAnsi="Courier" w:cs="Courier"/>
          <w:shd w:val="clear" w:color="auto" w:fill="F4F6F7"/>
        </w:rPr>
        <w:br/>
        <w:t xml:space="preserve">Physician Signature (Principal </w:t>
      </w:r>
      <w:proofErr w:type="gramStart"/>
      <w:r>
        <w:rPr>
          <w:rFonts w:ascii="Courier" w:eastAsia="Courier" w:hAnsi="Courier" w:cs="Courier"/>
          <w:shd w:val="clear" w:color="auto" w:fill="F4F6F7"/>
        </w:rPr>
        <w:t xml:space="preserve">Investigator)   </w:t>
      </w:r>
      <w:proofErr w:type="gramEnd"/>
      <w:r>
        <w:rPr>
          <w:rFonts w:ascii="Courier" w:eastAsia="Courier" w:hAnsi="Courier" w:cs="Courier"/>
          <w:shd w:val="clear" w:color="auto" w:fill="F4F6F7"/>
        </w:rPr>
        <w:t xml:space="preserve">   Date</w:t>
      </w:r>
      <w:r>
        <w:rPr>
          <w:rFonts w:ascii="Courier" w:eastAsia="Courier" w:hAnsi="Courier" w:cs="Courier"/>
          <w:shd w:val="clear" w:color="auto" w:fill="F4F6F7"/>
        </w:rPr>
        <w:br/>
      </w:r>
      <w:r>
        <w:rPr>
          <w:rFonts w:ascii="Courier" w:eastAsia="Courier" w:hAnsi="Courier" w:cs="Courier"/>
          <w:shd w:val="clear" w:color="auto" w:fill="F4F6F7"/>
        </w:rPr>
        <w:br/>
        <w:t>________________________________________          __________________</w:t>
      </w:r>
      <w:r>
        <w:rPr>
          <w:rFonts w:ascii="Courier" w:eastAsia="Courier" w:hAnsi="Courier" w:cs="Courier"/>
          <w:shd w:val="clear" w:color="auto" w:fill="F4F6F7"/>
        </w:rPr>
        <w:br/>
        <w:t>IRB Chairperson Signature                         Date</w:t>
      </w:r>
      <w:r>
        <w:rPr>
          <w:rFonts w:ascii="Courier" w:eastAsia="Courier" w:hAnsi="Courier" w:cs="Courier"/>
          <w:shd w:val="clear" w:color="auto" w:fill="F4F6F7"/>
        </w:rPr>
        <w:br/>
      </w:r>
    </w:p>
    <w:p w14:paraId="680A20F4" w14:textId="77777777" w:rsidR="000811E4" w:rsidRDefault="00000000">
      <w:pPr>
        <w:pStyle w:val="Heading2"/>
      </w:pPr>
      <w:r>
        <w:pict w14:anchorId="1D57C94D">
          <v:rect id="_x0000_i1046" style="width:0;height:1.5pt" o:hralign="center" o:bullet="t" o:hrstd="t" o:hr="t" fillcolor="#a0a0a0" stroked="f"/>
        </w:pict>
      </w:r>
    </w:p>
    <w:p w14:paraId="06C74993" w14:textId="77777777" w:rsidR="000811E4" w:rsidRDefault="000811E4">
      <w:pPr>
        <w:pStyle w:val="Heading2"/>
        <w:rPr>
          <w:sz w:val="30"/>
          <w:szCs w:val="30"/>
        </w:rPr>
      </w:pPr>
    </w:p>
    <w:p w14:paraId="0B8B6C78" w14:textId="77777777" w:rsidR="000811E4" w:rsidRDefault="000811E4">
      <w:pPr>
        <w:pStyle w:val="Heading2"/>
        <w:rPr>
          <w:sz w:val="30"/>
          <w:szCs w:val="30"/>
        </w:rPr>
      </w:pPr>
    </w:p>
    <w:p w14:paraId="1900A515" w14:textId="77777777" w:rsidR="000811E4" w:rsidRDefault="000811E4">
      <w:pPr>
        <w:pStyle w:val="Heading2"/>
        <w:rPr>
          <w:sz w:val="30"/>
          <w:szCs w:val="30"/>
        </w:rPr>
      </w:pPr>
    </w:p>
    <w:p w14:paraId="0021C212" w14:textId="77777777" w:rsidR="000811E4" w:rsidRDefault="000811E4">
      <w:pPr>
        <w:pStyle w:val="Heading2"/>
        <w:rPr>
          <w:sz w:val="30"/>
          <w:szCs w:val="30"/>
        </w:rPr>
      </w:pPr>
    </w:p>
    <w:p w14:paraId="7E4E0212" w14:textId="77777777" w:rsidR="000811E4" w:rsidRDefault="000811E4">
      <w:pPr>
        <w:pStyle w:val="Heading2"/>
        <w:rPr>
          <w:sz w:val="30"/>
          <w:szCs w:val="30"/>
        </w:rPr>
      </w:pPr>
    </w:p>
    <w:p w14:paraId="041C911F" w14:textId="77777777" w:rsidR="000811E4" w:rsidRDefault="000811E4">
      <w:pPr>
        <w:pStyle w:val="Heading2"/>
        <w:rPr>
          <w:sz w:val="30"/>
          <w:szCs w:val="30"/>
        </w:rPr>
      </w:pPr>
    </w:p>
    <w:p w14:paraId="02A524FC" w14:textId="77777777" w:rsidR="000811E4" w:rsidRDefault="000811E4">
      <w:pPr>
        <w:pStyle w:val="Heading2"/>
        <w:rPr>
          <w:sz w:val="30"/>
          <w:szCs w:val="30"/>
        </w:rPr>
      </w:pPr>
    </w:p>
    <w:p w14:paraId="553617C2" w14:textId="77777777" w:rsidR="000811E4" w:rsidRDefault="000811E4">
      <w:pPr>
        <w:pStyle w:val="Heading2"/>
        <w:rPr>
          <w:sz w:val="30"/>
          <w:szCs w:val="30"/>
        </w:rPr>
      </w:pPr>
    </w:p>
    <w:p w14:paraId="33C2E999" w14:textId="77777777" w:rsidR="000811E4" w:rsidRDefault="000811E4">
      <w:pPr>
        <w:pStyle w:val="Heading2"/>
        <w:rPr>
          <w:sz w:val="30"/>
          <w:szCs w:val="30"/>
        </w:rPr>
      </w:pPr>
    </w:p>
    <w:p w14:paraId="23A96B77" w14:textId="77777777" w:rsidR="000811E4" w:rsidRDefault="000811E4">
      <w:pPr>
        <w:pStyle w:val="Heading2"/>
        <w:rPr>
          <w:sz w:val="30"/>
          <w:szCs w:val="30"/>
        </w:rPr>
      </w:pPr>
    </w:p>
    <w:p w14:paraId="6A3EF0B6" w14:textId="77777777" w:rsidR="000811E4" w:rsidRDefault="000811E4">
      <w:pPr>
        <w:pStyle w:val="Heading2"/>
        <w:rPr>
          <w:sz w:val="30"/>
          <w:szCs w:val="30"/>
        </w:rPr>
      </w:pPr>
    </w:p>
    <w:p w14:paraId="0000001F" w14:textId="358C8108" w:rsidR="00CC4CC6" w:rsidRDefault="00000000">
      <w:pPr>
        <w:pStyle w:val="Heading2"/>
        <w:rPr>
          <w:sz w:val="30"/>
          <w:szCs w:val="30"/>
        </w:rPr>
      </w:pPr>
      <w:r>
        <w:rPr>
          <w:sz w:val="30"/>
          <w:szCs w:val="30"/>
        </w:rPr>
        <w:lastRenderedPageBreak/>
        <w:t>VI. Critical Pharmacokinetic Warnings &amp; Repository Index</w:t>
      </w:r>
    </w:p>
    <w:p w14:paraId="00000020" w14:textId="77777777" w:rsidR="00CC4CC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Vascular Smooth Muscle Alert:</w:t>
      </w:r>
      <w:r>
        <w:t xml:space="preserve"> Excessive systemic accumulation of enhanced curcuminoids past the established Minimum Toxic Concentration (MTC) threshold of 10.0 mg/L can induce unexpected calcium-channel blockades within vascular smooth muscle beds. This triggers unmonitored radius widening, causing an abrupt drop in total peripheral resistance ($R$), Mean Arterial Pressure ($\</w:t>
      </w:r>
      <w:proofErr w:type="gramStart"/>
      <w:r>
        <w:t>text{</w:t>
      </w:r>
      <w:proofErr w:type="gramEnd"/>
      <w:r>
        <w:t>MAP}$), and Cerebral Perfusion Pressure ($\</w:t>
      </w:r>
      <w:proofErr w:type="gramStart"/>
      <w:r>
        <w:t>text{</w:t>
      </w:r>
      <w:proofErr w:type="gramEnd"/>
      <w:r>
        <w:t>CPP}$). Early secondary signs include acute hypotension, deep flushing, and transient syncope (passing out).</w:t>
      </w:r>
    </w:p>
    <w:p w14:paraId="00000021" w14:textId="77777777" w:rsidR="00CC4CC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Technical Open-Science Documentation:</w:t>
      </w:r>
      <w:r>
        <w:t xml:space="preserve"> For comprehensive Chemistry, Manufacturing, and Controls (CMC) metrics, Bateman open single-compartment differential modeling equations, and federal compliance sourcing data, refer directly to the official technical development repositories:</w:t>
      </w:r>
    </w:p>
    <w:p w14:paraId="00000022" w14:textId="77777777" w:rsidR="00CC4C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HaldEX</w:t>
      </w:r>
      <w:proofErr w:type="spellEnd"/>
      <w:r>
        <w:rPr>
          <w:b/>
          <w:bCs/>
        </w:rPr>
        <w:t xml:space="preserve"> 1950mg Active Immune Core:</w:t>
      </w:r>
      <w:r>
        <w:t xml:space="preserve"> https://github.com/VirusTC/HaldEX-1950mg</w:t>
      </w:r>
    </w:p>
    <w:p w14:paraId="00000023" w14:textId="77777777" w:rsidR="00CC4C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AlnayaSN</w:t>
      </w:r>
      <w:proofErr w:type="spellEnd"/>
      <w:r>
        <w:rPr>
          <w:b/>
          <w:bCs/>
        </w:rPr>
        <w:t>™ 500mg Deficiency Core:</w:t>
      </w:r>
      <w:r>
        <w:t xml:space="preserve"> https://github.com/VirusTC/AlnayaSN-500mg/tree/main</w:t>
      </w:r>
    </w:p>
    <w:p w14:paraId="00000024" w14:textId="77777777" w:rsidR="00CC4CC6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b/>
          <w:bCs/>
        </w:rPr>
        <w:t>TsinKX</w:t>
      </w:r>
      <w:proofErr w:type="spellEnd"/>
      <w:r>
        <w:rPr>
          <w:b/>
          <w:bCs/>
        </w:rPr>
        <w:t xml:space="preserve"> 100mg Deficiency Core:</w:t>
      </w:r>
      <w:r>
        <w:t xml:space="preserve"> https://github.com/VirusTC/TsinKX-100mg</w:t>
      </w:r>
    </w:p>
    <w:p w14:paraId="00000025" w14:textId="5F2B2730" w:rsidR="000811E4" w:rsidRDefault="00000000" w:rsidP="000811E4">
      <w:p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pict w14:anchorId="42FD64F5">
          <v:rect id="_x0000_i1031" style="width:0;height:1.5pt" o:hralign="center" o:hrstd="t" o:hr="t" fillcolor="#a0a0a0" stroked="f"/>
        </w:pict>
      </w:r>
    </w:p>
    <w:p w14:paraId="00000028" w14:textId="0BA56A09" w:rsidR="00CC4CC6" w:rsidRDefault="00CC4CC6" w:rsidP="000811E4">
      <w:pPr>
        <w:pBdr>
          <w:top w:val="nil"/>
          <w:left w:val="nil"/>
          <w:bottom w:val="nil"/>
          <w:right w:val="nil"/>
          <w:between w:val="nil"/>
        </w:pBdr>
      </w:pPr>
    </w:p>
    <w:sectPr w:rsidR="00CC4CC6" w:rsidSect="000811E4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23439" w14:textId="77777777" w:rsidR="00102C7E" w:rsidRDefault="00102C7E" w:rsidP="000811E4">
      <w:r>
        <w:separator/>
      </w:r>
    </w:p>
  </w:endnote>
  <w:endnote w:type="continuationSeparator" w:id="0">
    <w:p w14:paraId="5521A1A6" w14:textId="77777777" w:rsidR="00102C7E" w:rsidRDefault="00102C7E" w:rsidP="000811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EF80200-7E06-4A2D-8DE4-43980F43F14F}"/>
  </w:font>
  <w:font w:name="Courier">
    <w:altName w:val="Courier New"/>
    <w:panose1 w:val="020704090202050204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FC48B5E-15A3-48A5-B2BA-A2102B6DE8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A356A19-ABEE-47F5-B216-2C74F62AF8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373D3" w14:textId="5C3F3BBB" w:rsidR="000811E4" w:rsidRDefault="000811E4" w:rsidP="000811E4">
    <w:pPr>
      <w:pStyle w:val="Footer"/>
      <w:jc w:val="center"/>
    </w:pPr>
    <w:hyperlink r:id="rId1" w:history="1">
      <w:r w:rsidRPr="00BD5127">
        <w:rPr>
          <w:rStyle w:val="Hyperlink"/>
        </w:rPr>
        <w:t>https://healthcarelawmatters.foxrothschild.com/contact/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C4088" w14:textId="05EE715E" w:rsidR="000811E4" w:rsidRDefault="000811E4" w:rsidP="000811E4">
    <w:pPr>
      <w:pStyle w:val="Footer"/>
      <w:jc w:val="center"/>
    </w:pPr>
    <w:hyperlink r:id="rId1" w:history="1">
      <w:r w:rsidRPr="000811E4">
        <w:rPr>
          <w:rStyle w:val="Hyperlink"/>
        </w:rPr>
        <w:t>https://www.foxrothschild.com/pharma-biotech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78A44" w14:textId="3E6BBCDC" w:rsidR="000811E4" w:rsidRDefault="000811E4" w:rsidP="000811E4">
    <w:pPr>
      <w:pStyle w:val="Footer"/>
      <w:jc w:val="center"/>
    </w:pPr>
    <w:hyperlink r:id="rId1" w:history="1">
      <w:r w:rsidRPr="000811E4">
        <w:rPr>
          <w:rStyle w:val="Hyperlink"/>
        </w:rPr>
        <w:t>https://virustreatmentcenters.com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1F9A3" w14:textId="77777777" w:rsidR="00102C7E" w:rsidRDefault="00102C7E" w:rsidP="000811E4">
      <w:r>
        <w:separator/>
      </w:r>
    </w:p>
  </w:footnote>
  <w:footnote w:type="continuationSeparator" w:id="0">
    <w:p w14:paraId="05917917" w14:textId="77777777" w:rsidR="00102C7E" w:rsidRDefault="00102C7E" w:rsidP="000811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numPicBullet w:numPicBulletId="4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0352165D"/>
    <w:multiLevelType w:val="multilevel"/>
    <w:tmpl w:val="28B6578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6B13C3C"/>
    <w:multiLevelType w:val="multilevel"/>
    <w:tmpl w:val="1D9A26B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9735EFC"/>
    <w:multiLevelType w:val="multilevel"/>
    <w:tmpl w:val="73E4883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6254F50"/>
    <w:multiLevelType w:val="multilevel"/>
    <w:tmpl w:val="F928F46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85116DA"/>
    <w:multiLevelType w:val="multilevel"/>
    <w:tmpl w:val="E2381D6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B5F4BBC"/>
    <w:multiLevelType w:val="multilevel"/>
    <w:tmpl w:val="851E5EA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54D06F5D"/>
    <w:multiLevelType w:val="multilevel"/>
    <w:tmpl w:val="429A76F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692150330">
    <w:abstractNumId w:val="5"/>
  </w:num>
  <w:num w:numId="2" w16cid:durableId="100344346">
    <w:abstractNumId w:val="0"/>
  </w:num>
  <w:num w:numId="3" w16cid:durableId="2142141049">
    <w:abstractNumId w:val="1"/>
  </w:num>
  <w:num w:numId="4" w16cid:durableId="632835768">
    <w:abstractNumId w:val="3"/>
  </w:num>
  <w:num w:numId="5" w16cid:durableId="214320916">
    <w:abstractNumId w:val="4"/>
  </w:num>
  <w:num w:numId="6" w16cid:durableId="736634446">
    <w:abstractNumId w:val="2"/>
  </w:num>
  <w:num w:numId="7" w16cid:durableId="1127902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4CC6"/>
    <w:rsid w:val="000811E4"/>
    <w:rsid w:val="00102C7E"/>
    <w:rsid w:val="00CC4CC6"/>
    <w:rsid w:val="00DC2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3DDC4C"/>
  <w15:docId w15:val="{6A12F885-6175-4456-B680-6F0C5846B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0811E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11E4"/>
  </w:style>
  <w:style w:type="paragraph" w:styleId="Footer">
    <w:name w:val="footer"/>
    <w:basedOn w:val="Normal"/>
    <w:link w:val="FooterChar"/>
    <w:uiPriority w:val="99"/>
    <w:unhideWhenUsed/>
    <w:rsid w:val="000811E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11E4"/>
  </w:style>
  <w:style w:type="character" w:styleId="Hyperlink">
    <w:name w:val="Hyperlink"/>
    <w:basedOn w:val="DefaultParagraphFont"/>
    <w:uiPriority w:val="99"/>
    <w:unhideWhenUsed/>
    <w:rsid w:val="000811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11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healthcarelawmatters.foxrothschild.com/contact/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foxrothschild.com/pharma-biotech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virustreatmentcenter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1099</Words>
  <Characters>8004</Characters>
  <Application>Microsoft Office Word</Application>
  <DocSecurity>0</DocSecurity>
  <Lines>250</Lines>
  <Paragraphs>39</Paragraphs>
  <ScaleCrop>false</ScaleCrop>
  <Company/>
  <LinksUpToDate>false</LinksUpToDate>
  <CharactersWithSpaces>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Revolutionary Tech</dc:creator>
  <cp:lastModifiedBy>Cory Hofstad</cp:lastModifiedBy>
  <cp:revision>2</cp:revision>
  <dcterms:created xsi:type="dcterms:W3CDTF">2026-07-18T05:35:00Z</dcterms:created>
  <dcterms:modified xsi:type="dcterms:W3CDTF">2026-07-18T05:35:00Z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32172c5a-4e40-43bf-adc3-3ac5d508a604</vt:lpwstr>
  </property>
</Properties>
</file>