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41E84" w:rsidRDefault="00000000">
      <w:pPr>
        <w:pStyle w:val="Heading2"/>
        <w:spacing w:after="240"/>
        <w:rPr>
          <w:sz w:val="30"/>
          <w:szCs w:val="30"/>
        </w:rPr>
      </w:pPr>
      <w:r>
        <w:rPr>
          <w:sz w:val="30"/>
          <w:szCs w:val="30"/>
        </w:rPr>
        <w:t>Institutional Review Board (IRB) Clinical Protocol</w:t>
      </w:r>
    </w:p>
    <w:p w14:paraId="00000002" w14:textId="77777777" w:rsidR="00B41E84" w:rsidRDefault="00000000">
      <w:pPr>
        <w:pBdr>
          <w:top w:val="nil"/>
          <w:left w:val="nil"/>
          <w:bottom w:val="nil"/>
          <w:right w:val="nil"/>
          <w:between w:val="nil"/>
        </w:pBdr>
      </w:pPr>
      <w:r>
        <w:rPr>
          <w:b/>
          <w:bCs/>
        </w:rPr>
        <w:t>Protocol Status:</w:t>
      </w:r>
      <w:r>
        <w:t xml:space="preserve"> Single-Patient Expanded Access (Compassionate Use Framework)</w:t>
      </w:r>
    </w:p>
    <w:p w14:paraId="00000003" w14:textId="77777777" w:rsidR="00B41E84" w:rsidRDefault="00000000">
      <w:pPr>
        <w:pBdr>
          <w:top w:val="nil"/>
          <w:left w:val="nil"/>
          <w:bottom w:val="nil"/>
          <w:right w:val="nil"/>
          <w:between w:val="nil"/>
        </w:pBdr>
      </w:pPr>
      <w:r>
        <w:rPr>
          <w:b/>
          <w:bCs/>
        </w:rPr>
        <w:t>Authorized Phase Duration:</w:t>
      </w:r>
      <w:r>
        <w:t xml:space="preserve"> 6 Months (Consecutive)</w:t>
      </w:r>
    </w:p>
    <w:p w14:paraId="00000004" w14:textId="77777777" w:rsidR="00B41E84" w:rsidRDefault="00000000">
      <w:pPr>
        <w:pBdr>
          <w:top w:val="nil"/>
          <w:left w:val="nil"/>
          <w:bottom w:val="nil"/>
          <w:right w:val="nil"/>
          <w:between w:val="nil"/>
        </w:pBdr>
      </w:pPr>
      <w:r>
        <w:rPr>
          <w:b/>
          <w:bCs/>
        </w:rPr>
        <w:t>Target Physiological Endpoint:</w:t>
      </w:r>
      <w:r>
        <w:t xml:space="preserve"> Stable Urinary pH of 8.0</w:t>
      </w:r>
    </w:p>
    <w:p w14:paraId="00000005" w14:textId="77777777" w:rsidR="00B41E84" w:rsidRDefault="00000000">
      <w:pPr>
        <w:pBdr>
          <w:top w:val="nil"/>
          <w:left w:val="nil"/>
          <w:bottom w:val="nil"/>
          <w:right w:val="nil"/>
          <w:between w:val="nil"/>
        </w:pBdr>
      </w:pPr>
      <w:r>
        <w:rPr>
          <w:b/>
          <w:bCs/>
        </w:rPr>
        <w:t>Financial Status:</w:t>
      </w:r>
      <w:r>
        <w:t xml:space="preserve"> Voluntary Enrollment; 100% Insurer Funded</w:t>
      </w:r>
    </w:p>
    <w:p w14:paraId="00000006" w14:textId="77777777" w:rsidR="00B41E84" w:rsidRDefault="00000000">
      <w:pPr>
        <w:pBdr>
          <w:top w:val="nil"/>
          <w:left w:val="nil"/>
          <w:bottom w:val="nil"/>
          <w:right w:val="nil"/>
          <w:between w:val="nil"/>
        </w:pBdr>
        <w:spacing w:after="240"/>
      </w:pPr>
      <w:r>
        <w:rPr>
          <w:b/>
          <w:bCs/>
        </w:rPr>
        <w:t>FDA Status Reference:</w:t>
      </w:r>
      <w:r>
        <w:t xml:space="preserve"> Mapped under FDA Orphan Drug Designation #298309 Integration Pipeline</w:t>
      </w:r>
    </w:p>
    <w:p w14:paraId="573BB5D2" w14:textId="77777777" w:rsidR="00FC18F1" w:rsidRDefault="00000000">
      <w:pPr>
        <w:pStyle w:val="Heading2"/>
        <w:spacing w:after="240"/>
      </w:pPr>
      <w:r>
        <w:pict w14:anchorId="08D79C54">
          <v:rect id="_x0000_i1034" style="width:0;height:1.5pt" o:hralign="center" o:bullet="t" o:hrstd="t" o:hr="t" fillcolor="#a0a0a0" stroked="f"/>
        </w:pict>
      </w:r>
    </w:p>
    <w:p w14:paraId="037B956F" w14:textId="77777777" w:rsidR="00FC18F1" w:rsidRDefault="00FC18F1">
      <w:pPr>
        <w:pStyle w:val="Heading2"/>
        <w:spacing w:after="240"/>
        <w:rPr>
          <w:sz w:val="30"/>
          <w:szCs w:val="30"/>
        </w:rPr>
      </w:pPr>
    </w:p>
    <w:p w14:paraId="71DC7AC4" w14:textId="77777777" w:rsidR="00FC18F1" w:rsidRDefault="00FC18F1">
      <w:pPr>
        <w:pStyle w:val="Heading2"/>
        <w:spacing w:after="240"/>
        <w:rPr>
          <w:sz w:val="30"/>
          <w:szCs w:val="30"/>
        </w:rPr>
      </w:pPr>
    </w:p>
    <w:p w14:paraId="72A9987A" w14:textId="77777777" w:rsidR="00FC18F1" w:rsidRDefault="00FC18F1">
      <w:pPr>
        <w:pStyle w:val="Heading2"/>
        <w:spacing w:after="240"/>
        <w:rPr>
          <w:sz w:val="30"/>
          <w:szCs w:val="30"/>
        </w:rPr>
      </w:pPr>
    </w:p>
    <w:p w14:paraId="3EBF4427" w14:textId="77777777" w:rsidR="00FC18F1" w:rsidRDefault="00FC18F1">
      <w:pPr>
        <w:pStyle w:val="Heading2"/>
        <w:spacing w:after="240"/>
        <w:rPr>
          <w:sz w:val="30"/>
          <w:szCs w:val="30"/>
        </w:rPr>
      </w:pPr>
    </w:p>
    <w:p w14:paraId="6D95A188" w14:textId="77777777" w:rsidR="00FC18F1" w:rsidRDefault="00FC18F1">
      <w:pPr>
        <w:pStyle w:val="Heading2"/>
        <w:spacing w:after="240"/>
        <w:rPr>
          <w:sz w:val="30"/>
          <w:szCs w:val="30"/>
        </w:rPr>
      </w:pPr>
    </w:p>
    <w:p w14:paraId="0BCF1AC0" w14:textId="77777777" w:rsidR="00FC18F1" w:rsidRDefault="00FC18F1">
      <w:pPr>
        <w:pStyle w:val="Heading2"/>
        <w:spacing w:after="240"/>
        <w:rPr>
          <w:sz w:val="30"/>
          <w:szCs w:val="30"/>
        </w:rPr>
      </w:pPr>
    </w:p>
    <w:p w14:paraId="33823AE4" w14:textId="77777777" w:rsidR="00FC18F1" w:rsidRDefault="00FC18F1">
      <w:pPr>
        <w:pStyle w:val="Heading2"/>
        <w:spacing w:after="240"/>
        <w:rPr>
          <w:sz w:val="30"/>
          <w:szCs w:val="30"/>
        </w:rPr>
      </w:pPr>
    </w:p>
    <w:p w14:paraId="4DD6BE7B" w14:textId="77777777" w:rsidR="00FC18F1" w:rsidRDefault="00FC18F1">
      <w:pPr>
        <w:pStyle w:val="Heading2"/>
        <w:spacing w:after="240"/>
        <w:rPr>
          <w:sz w:val="30"/>
          <w:szCs w:val="30"/>
        </w:rPr>
      </w:pPr>
    </w:p>
    <w:p w14:paraId="02B92BBF" w14:textId="77777777" w:rsidR="00FC18F1" w:rsidRDefault="00FC18F1">
      <w:pPr>
        <w:pStyle w:val="Heading2"/>
        <w:spacing w:after="240"/>
        <w:rPr>
          <w:sz w:val="30"/>
          <w:szCs w:val="30"/>
        </w:rPr>
      </w:pPr>
    </w:p>
    <w:p w14:paraId="072E2C18" w14:textId="77777777" w:rsidR="00FC18F1" w:rsidRDefault="00FC18F1">
      <w:pPr>
        <w:pStyle w:val="Heading2"/>
        <w:spacing w:after="240"/>
        <w:rPr>
          <w:sz w:val="30"/>
          <w:szCs w:val="30"/>
        </w:rPr>
      </w:pPr>
    </w:p>
    <w:p w14:paraId="69EA6D7D" w14:textId="77777777" w:rsidR="00FC18F1" w:rsidRDefault="00FC18F1">
      <w:pPr>
        <w:pStyle w:val="Heading2"/>
        <w:spacing w:after="240"/>
        <w:rPr>
          <w:sz w:val="30"/>
          <w:szCs w:val="30"/>
        </w:rPr>
      </w:pPr>
    </w:p>
    <w:p w14:paraId="367AC4CD" w14:textId="77777777" w:rsidR="00FC18F1" w:rsidRDefault="00FC18F1">
      <w:pPr>
        <w:pStyle w:val="Heading2"/>
        <w:spacing w:after="240"/>
        <w:rPr>
          <w:sz w:val="30"/>
          <w:szCs w:val="30"/>
        </w:rPr>
      </w:pPr>
    </w:p>
    <w:p w14:paraId="129A6BD0" w14:textId="77777777" w:rsidR="00FC18F1" w:rsidRDefault="00FC18F1">
      <w:pPr>
        <w:pStyle w:val="Heading2"/>
        <w:spacing w:after="240"/>
        <w:rPr>
          <w:sz w:val="30"/>
          <w:szCs w:val="30"/>
        </w:rPr>
      </w:pPr>
    </w:p>
    <w:p w14:paraId="6ED9915A" w14:textId="77777777" w:rsidR="00FC18F1" w:rsidRDefault="00FC18F1">
      <w:pPr>
        <w:pStyle w:val="Heading2"/>
        <w:spacing w:after="240"/>
        <w:rPr>
          <w:sz w:val="30"/>
          <w:szCs w:val="30"/>
        </w:rPr>
      </w:pPr>
    </w:p>
    <w:p w14:paraId="3A5B2B33" w14:textId="77777777" w:rsidR="00FC18F1" w:rsidRDefault="00FC18F1">
      <w:pPr>
        <w:pStyle w:val="Heading2"/>
        <w:spacing w:after="240"/>
        <w:rPr>
          <w:sz w:val="30"/>
          <w:szCs w:val="30"/>
        </w:rPr>
      </w:pPr>
    </w:p>
    <w:p w14:paraId="2F3BABDA" w14:textId="77777777" w:rsidR="00FC18F1" w:rsidRDefault="00FC18F1">
      <w:pPr>
        <w:pStyle w:val="Heading2"/>
        <w:spacing w:after="240"/>
        <w:rPr>
          <w:sz w:val="30"/>
          <w:szCs w:val="30"/>
        </w:rPr>
      </w:pPr>
    </w:p>
    <w:p w14:paraId="7134C40E" w14:textId="77777777" w:rsidR="00FC18F1" w:rsidRDefault="00FC18F1">
      <w:pPr>
        <w:pStyle w:val="Heading2"/>
        <w:spacing w:after="240"/>
        <w:rPr>
          <w:sz w:val="30"/>
          <w:szCs w:val="30"/>
        </w:rPr>
      </w:pPr>
    </w:p>
    <w:p w14:paraId="00000007" w14:textId="1F3C8E88" w:rsidR="00B41E84" w:rsidRDefault="00000000">
      <w:pPr>
        <w:pStyle w:val="Heading2"/>
        <w:spacing w:after="240"/>
        <w:rPr>
          <w:sz w:val="30"/>
          <w:szCs w:val="30"/>
        </w:rPr>
      </w:pPr>
      <w:r>
        <w:rPr>
          <w:sz w:val="30"/>
          <w:szCs w:val="30"/>
        </w:rPr>
        <w:lastRenderedPageBreak/>
        <w:t>I. Rationale &amp; Synergistic Mechanisms</w:t>
      </w:r>
    </w:p>
    <w:p w14:paraId="00000008" w14:textId="77777777" w:rsidR="00B41E84" w:rsidRDefault="00000000">
      <w:pPr>
        <w:pBdr>
          <w:top w:val="nil"/>
          <w:left w:val="nil"/>
          <w:bottom w:val="nil"/>
          <w:right w:val="nil"/>
          <w:between w:val="nil"/>
        </w:pBdr>
        <w:spacing w:after="240"/>
      </w:pPr>
      <w:r>
        <w:t>This clinical protocol establishes a managed, 6-month single-patient expanded access framework utilizing an unadulterated, plant-derived molecular approach to mitigate severe, localized tissue inflammation, resolve bioenergetic ATP depletion, and correct severe metabolic acidosis without introducing industrial chemical stressors.</w:t>
      </w:r>
    </w:p>
    <w:p w14:paraId="00000009" w14:textId="77777777" w:rsidR="00B41E84" w:rsidRDefault="00B41E84">
      <w:pPr>
        <w:pBdr>
          <w:top w:val="nil"/>
          <w:left w:val="nil"/>
          <w:bottom w:val="nil"/>
          <w:right w:val="nil"/>
          <w:between w:val="nil"/>
        </w:pBdr>
        <w:spacing w:before="240" w:after="240"/>
        <w:ind w:left="240" w:right="240"/>
      </w:pPr>
    </w:p>
    <w:p w14:paraId="0000000A" w14:textId="77777777" w:rsidR="00B41E84"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 xml:space="preserve">                      [ Initial Patient Evaluation ]</w:t>
      </w:r>
      <w:r>
        <w:rPr>
          <w:rFonts w:ascii="Courier" w:eastAsia="Courier" w:hAnsi="Courier" w:cs="Courier"/>
          <w:shd w:val="clear" w:color="auto" w:fill="F4F6F7"/>
        </w:rPr>
        <w:br/>
        <w:t xml:space="preserve">                 (Severe Tissue Inflammation &amp; Acidosis)</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w:t>
      </w:r>
      <w:r>
        <w:rPr>
          <w:rFonts w:ascii="Courier" w:eastAsia="Courier" w:hAnsi="Courier" w:cs="Courier"/>
          <w:shd w:val="clear" w:color="auto" w:fill="F4F6F7"/>
        </w:rPr>
        <w:br/>
      </w:r>
      <w:r>
        <w:rPr>
          <w:rFonts w:ascii="Courier" w:eastAsia="Courier" w:hAnsi="Courier" w:cs="Courier"/>
          <w:shd w:val="clear" w:color="auto" w:fill="F4F6F7"/>
        </w:rPr>
        <w:br/>
        <w:t xml:space="preserve">         |                                                     |</w:t>
      </w:r>
      <w:r>
        <w:rPr>
          <w:rFonts w:ascii="Courier" w:eastAsia="Courier" w:hAnsi="Courier" w:cs="Courier"/>
          <w:shd w:val="clear" w:color="auto" w:fill="F4F6F7"/>
        </w:rPr>
        <w:br/>
        <w:t xml:space="preserve">         v                                                     </w:t>
      </w:r>
      <w:proofErr w:type="spellStart"/>
      <w:r>
        <w:rPr>
          <w:rFonts w:ascii="Courier" w:eastAsia="Courier" w:hAnsi="Courier" w:cs="Courier"/>
          <w:shd w:val="clear" w:color="auto" w:fill="F4F6F7"/>
        </w:rPr>
        <w:t>v</w:t>
      </w:r>
      <w:proofErr w:type="spellEnd"/>
      <w:r>
        <w:rPr>
          <w:rFonts w:ascii="Courier" w:eastAsia="Courier" w:hAnsi="Courier" w:cs="Courier"/>
          <w:shd w:val="clear" w:color="auto" w:fill="F4F6F7"/>
        </w:rPr>
        <w:br/>
        <w:t>[ Primary Citric Acid Pathway ]                       [ Bioenergetic Cellular Support ]</w:t>
      </w:r>
      <w:r>
        <w:rPr>
          <w:rFonts w:ascii="Courier" w:eastAsia="Courier" w:hAnsi="Courier" w:cs="Courier"/>
          <w:shd w:val="clear" w:color="auto" w:fill="F4F6F7"/>
        </w:rPr>
        <w:br/>
        <w:t>(Selected Plant-Derived Active Core)                 (</w:t>
      </w:r>
      <w:proofErr w:type="spellStart"/>
      <w:r>
        <w:rPr>
          <w:rFonts w:ascii="Courier" w:eastAsia="Courier" w:hAnsi="Courier" w:cs="Courier"/>
          <w:shd w:val="clear" w:color="auto" w:fill="F4F6F7"/>
        </w:rPr>
        <w:t>KureaSH</w:t>
      </w:r>
      <w:proofErr w:type="spellEnd"/>
      <w:r>
        <w:rPr>
          <w:rFonts w:ascii="Courier" w:eastAsia="Courier" w:hAnsi="Courier" w:cs="Courier"/>
          <w:shd w:val="clear" w:color="auto" w:fill="F4F6F7"/>
        </w:rPr>
        <w:t>™ 3000mg Orphan Matrix)</w:t>
      </w:r>
      <w:r>
        <w:rPr>
          <w:rFonts w:ascii="Courier" w:eastAsia="Courier" w:hAnsi="Courier" w:cs="Courier"/>
          <w:shd w:val="clear" w:color="auto" w:fill="F4F6F7"/>
        </w:rPr>
        <w:br/>
      </w:r>
      <w:r>
        <w:rPr>
          <w:rFonts w:ascii="Courier" w:eastAsia="Courier" w:hAnsi="Courier" w:cs="Courier"/>
          <w:shd w:val="clear" w:color="auto" w:fill="F4F6F7"/>
        </w:rPr>
        <w:br/>
        <w:t xml:space="preserve">         |                                                     |</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v</w:t>
      </w:r>
      <w:r>
        <w:rPr>
          <w:rFonts w:ascii="Courier" w:eastAsia="Courier" w:hAnsi="Courier" w:cs="Courier"/>
          <w:shd w:val="clear" w:color="auto" w:fill="F4F6F7"/>
        </w:rPr>
        <w:br/>
        <w:t xml:space="preserve">                     [ 6-Month Monitored Lifecycle ]</w:t>
      </w:r>
      <w:r>
        <w:rPr>
          <w:rFonts w:ascii="Courier" w:eastAsia="Courier" w:hAnsi="Courier" w:cs="Courier"/>
          <w:shd w:val="clear" w:color="auto" w:fill="F4F6F7"/>
        </w:rPr>
        <w:br/>
        <w:t xml:space="preserve">                 (Target Steady-State Urinary pH: 8.0)</w:t>
      </w:r>
      <w:r>
        <w:rPr>
          <w:rFonts w:ascii="Courier" w:eastAsia="Courier" w:hAnsi="Courier" w:cs="Courier"/>
          <w:shd w:val="clear" w:color="auto" w:fill="F4F6F7"/>
        </w:rPr>
        <w:br/>
      </w:r>
    </w:p>
    <w:p w14:paraId="0000000B" w14:textId="77777777" w:rsidR="00B41E84" w:rsidRDefault="00000000">
      <w:pPr>
        <w:numPr>
          <w:ilvl w:val="0"/>
          <w:numId w:val="1"/>
        </w:numPr>
        <w:pBdr>
          <w:top w:val="nil"/>
          <w:left w:val="nil"/>
          <w:bottom w:val="nil"/>
          <w:right w:val="nil"/>
          <w:between w:val="nil"/>
        </w:pBdr>
      </w:pPr>
      <w:r>
        <w:rPr>
          <w:b/>
          <w:bCs/>
        </w:rPr>
        <w:t>Systemic &amp; Urinary Alkalization:</w:t>
      </w:r>
      <w:r>
        <w:t xml:space="preserve"> Chronic metabolic imbalances, cellular stress, and high mineral supersaturation drive severe crystallization risk and tissue breakdown. Introducing a highly bioavailable, plant-derived citric acid/citrate core provides gradual, thermodynamically buffered proton release to force systemic and urinary pH levels to an intensive therapeutic plateau of 8.0. Upon hepatic Krebs-cycle oxidation, these organic citrate structures yield twelve bicarbonate buffer equivalents to neutralize systemic acid headers without causing the mineral or cardiovascular overload associated with traditional mineral chemical carriers.</w:t>
      </w:r>
    </w:p>
    <w:p w14:paraId="0000000C" w14:textId="77777777" w:rsidR="00B41E84" w:rsidRDefault="00000000">
      <w:pPr>
        <w:numPr>
          <w:ilvl w:val="0"/>
          <w:numId w:val="1"/>
        </w:numPr>
        <w:pBdr>
          <w:top w:val="nil"/>
          <w:left w:val="nil"/>
          <w:bottom w:val="nil"/>
          <w:right w:val="nil"/>
          <w:between w:val="nil"/>
        </w:pBdr>
      </w:pPr>
      <w:r>
        <w:rPr>
          <w:b/>
          <w:bCs/>
        </w:rPr>
        <w:t xml:space="preserve">Bioenergetic Tissue Stabilization via </w:t>
      </w:r>
      <w:proofErr w:type="spellStart"/>
      <w:r>
        <w:rPr>
          <w:b/>
          <w:bCs/>
        </w:rPr>
        <w:t>KureaSH</w:t>
      </w:r>
      <w:proofErr w:type="spellEnd"/>
      <w:r>
        <w:rPr>
          <w:b/>
          <w:bCs/>
        </w:rPr>
        <w:t>™ 3000mg:</w:t>
      </w:r>
      <w:r>
        <w:t xml:space="preserve"> </w:t>
      </w:r>
      <w:proofErr w:type="spellStart"/>
      <w:r>
        <w:rPr>
          <w:b/>
          <w:bCs/>
        </w:rPr>
        <w:t>KureaSH</w:t>
      </w:r>
      <w:proofErr w:type="spellEnd"/>
      <w:r>
        <w:rPr>
          <w:b/>
          <w:bCs/>
        </w:rPr>
        <w:t>™ 3000mg</w:t>
      </w:r>
      <w:r>
        <w:t xml:space="preserve"> provides a proprietary, high-purity, plant-derived creatine monohydrate formulation designed for integration into advanced oncology and pathology research networks. Stressed, inflamed, and malignant tissues experience rapid adenosine triphosphate (ATP) depletion, precipitating cellular breakdown. </w:t>
      </w:r>
      <w:proofErr w:type="spellStart"/>
      <w:r>
        <w:t>KureaSH</w:t>
      </w:r>
      <w:proofErr w:type="spellEnd"/>
      <w:r>
        <w:t>™ enters the target tissue via specific creatine transporters, donating its phosphate group to rapidly recharge adenosine diphosphate (ADP) back into active ATP. This re-energization stabilizes phospholipid bilayers, reduces local inflammatory cytokine cascades, and guards cell structure under aggressive alkaline parameters.</w:t>
      </w:r>
    </w:p>
    <w:p w14:paraId="0000000D" w14:textId="77777777" w:rsidR="00B41E84" w:rsidRDefault="00000000">
      <w:pPr>
        <w:numPr>
          <w:ilvl w:val="0"/>
          <w:numId w:val="1"/>
        </w:numPr>
        <w:pBdr>
          <w:top w:val="nil"/>
          <w:left w:val="nil"/>
          <w:bottom w:val="nil"/>
          <w:right w:val="nil"/>
          <w:between w:val="nil"/>
        </w:pBdr>
      </w:pPr>
      <w:r>
        <w:rPr>
          <w:b/>
          <w:bCs/>
        </w:rPr>
        <w:t>The Plant-Derived Sparing Framework:</w:t>
      </w:r>
      <w:r>
        <w:t xml:space="preserve"> By avoiding standard manufactured citric acid derived from heavy industrial microbial fermentation (</w:t>
      </w:r>
      <w:r>
        <w:rPr>
          <w:i/>
          <w:iCs/>
        </w:rPr>
        <w:t xml:space="preserve">Aspergillus </w:t>
      </w:r>
      <w:proofErr w:type="spellStart"/>
      <w:r>
        <w:rPr>
          <w:i/>
          <w:iCs/>
        </w:rPr>
        <w:t>niger</w:t>
      </w:r>
      <w:proofErr w:type="spellEnd"/>
      <w:r>
        <w:t xml:space="preserve">) or mineral-acid precipitation loops, this protocol </w:t>
      </w:r>
      <w:proofErr w:type="gramStart"/>
      <w:r>
        <w:t>completely eliminates</w:t>
      </w:r>
      <w:proofErr w:type="gramEnd"/>
      <w:r>
        <w:t xml:space="preserve"> the risks of residual processing contaminants, mold fractions, or synthetic gypsum ($\</w:t>
      </w:r>
      <w:proofErr w:type="gramStart"/>
      <w:r>
        <w:t>text{</w:t>
      </w:r>
      <w:proofErr w:type="spellStart"/>
      <w:proofErr w:type="gramEnd"/>
      <w:r>
        <w:t>CaSO</w:t>
      </w:r>
      <w:proofErr w:type="spellEnd"/>
      <w:r>
        <w:t xml:space="preserve">}_4$) byproducts. The utilization of physical vacuum lyophilization (freeze-drying) preserves native organic bioflavonoids (such as hesperidin and </w:t>
      </w:r>
      <w:proofErr w:type="spellStart"/>
      <w:r>
        <w:t>eriocitrin</w:t>
      </w:r>
      <w:proofErr w:type="spellEnd"/>
      <w:r>
        <w:t xml:space="preserve">) and volatile monoterpenes. This </w:t>
      </w:r>
      <w:r>
        <w:lastRenderedPageBreak/>
        <w:t>complete plant-derived synergy guarantees exceptional gastrointestinal tolerance and sustained biological presence.</w:t>
      </w:r>
    </w:p>
    <w:p w14:paraId="3F608DBB" w14:textId="77777777" w:rsidR="00FC18F1" w:rsidRDefault="00000000">
      <w:pPr>
        <w:pStyle w:val="Heading2"/>
        <w:spacing w:after="240"/>
      </w:pPr>
      <w:r>
        <w:pict w14:anchorId="466CF2B3">
          <v:rect id="_x0000_i1037" style="width:0;height:1.5pt" o:hralign="center" o:bullet="t" o:hrstd="t" o:hr="t" fillcolor="#a0a0a0" stroked="f"/>
        </w:pict>
      </w:r>
    </w:p>
    <w:p w14:paraId="3171FE18" w14:textId="77777777" w:rsidR="00FC18F1" w:rsidRDefault="00FC18F1">
      <w:pPr>
        <w:pStyle w:val="Heading2"/>
        <w:spacing w:after="240"/>
        <w:rPr>
          <w:sz w:val="30"/>
          <w:szCs w:val="30"/>
        </w:rPr>
      </w:pPr>
    </w:p>
    <w:p w14:paraId="5D841DD4" w14:textId="77777777" w:rsidR="00FC18F1" w:rsidRDefault="00FC18F1">
      <w:pPr>
        <w:pStyle w:val="Heading2"/>
        <w:spacing w:after="240"/>
        <w:rPr>
          <w:sz w:val="30"/>
          <w:szCs w:val="30"/>
        </w:rPr>
      </w:pPr>
    </w:p>
    <w:p w14:paraId="33D54467" w14:textId="77777777" w:rsidR="00FC18F1" w:rsidRDefault="00FC18F1">
      <w:pPr>
        <w:pStyle w:val="Heading2"/>
        <w:spacing w:after="240"/>
        <w:rPr>
          <w:sz w:val="30"/>
          <w:szCs w:val="30"/>
        </w:rPr>
      </w:pPr>
    </w:p>
    <w:p w14:paraId="07D6EA4B" w14:textId="77777777" w:rsidR="00FC18F1" w:rsidRDefault="00FC18F1">
      <w:pPr>
        <w:pStyle w:val="Heading2"/>
        <w:spacing w:after="240"/>
        <w:rPr>
          <w:sz w:val="30"/>
          <w:szCs w:val="30"/>
        </w:rPr>
      </w:pPr>
    </w:p>
    <w:p w14:paraId="67008BA3" w14:textId="77777777" w:rsidR="00FC18F1" w:rsidRDefault="00FC18F1">
      <w:pPr>
        <w:pStyle w:val="Heading2"/>
        <w:spacing w:after="240"/>
        <w:rPr>
          <w:sz w:val="30"/>
          <w:szCs w:val="30"/>
        </w:rPr>
      </w:pPr>
    </w:p>
    <w:p w14:paraId="00545D88" w14:textId="77777777" w:rsidR="00FC18F1" w:rsidRDefault="00FC18F1">
      <w:pPr>
        <w:pStyle w:val="Heading2"/>
        <w:spacing w:after="240"/>
        <w:rPr>
          <w:sz w:val="30"/>
          <w:szCs w:val="30"/>
        </w:rPr>
      </w:pPr>
    </w:p>
    <w:p w14:paraId="4BDA86BE" w14:textId="77777777" w:rsidR="00FC18F1" w:rsidRDefault="00FC18F1">
      <w:pPr>
        <w:pStyle w:val="Heading2"/>
        <w:spacing w:after="240"/>
        <w:rPr>
          <w:sz w:val="30"/>
          <w:szCs w:val="30"/>
        </w:rPr>
      </w:pPr>
    </w:p>
    <w:p w14:paraId="78AA3248" w14:textId="77777777" w:rsidR="00FC18F1" w:rsidRDefault="00FC18F1">
      <w:pPr>
        <w:pStyle w:val="Heading2"/>
        <w:spacing w:after="240"/>
        <w:rPr>
          <w:sz w:val="30"/>
          <w:szCs w:val="30"/>
        </w:rPr>
      </w:pPr>
    </w:p>
    <w:p w14:paraId="2CD34458" w14:textId="77777777" w:rsidR="00FC18F1" w:rsidRDefault="00FC18F1">
      <w:pPr>
        <w:pStyle w:val="Heading2"/>
        <w:spacing w:after="240"/>
        <w:rPr>
          <w:sz w:val="30"/>
          <w:szCs w:val="30"/>
        </w:rPr>
      </w:pPr>
    </w:p>
    <w:p w14:paraId="34FAC32E" w14:textId="77777777" w:rsidR="00FC18F1" w:rsidRDefault="00FC18F1">
      <w:pPr>
        <w:pStyle w:val="Heading2"/>
        <w:spacing w:after="240"/>
        <w:rPr>
          <w:sz w:val="30"/>
          <w:szCs w:val="30"/>
        </w:rPr>
      </w:pPr>
    </w:p>
    <w:p w14:paraId="136B214A" w14:textId="77777777" w:rsidR="00FC18F1" w:rsidRDefault="00FC18F1">
      <w:pPr>
        <w:pStyle w:val="Heading2"/>
        <w:spacing w:after="240"/>
        <w:rPr>
          <w:sz w:val="30"/>
          <w:szCs w:val="30"/>
        </w:rPr>
      </w:pPr>
    </w:p>
    <w:p w14:paraId="7431582E" w14:textId="77777777" w:rsidR="00FC18F1" w:rsidRDefault="00FC18F1">
      <w:pPr>
        <w:pStyle w:val="Heading2"/>
        <w:spacing w:after="240"/>
        <w:rPr>
          <w:sz w:val="30"/>
          <w:szCs w:val="30"/>
        </w:rPr>
      </w:pPr>
    </w:p>
    <w:p w14:paraId="35203861" w14:textId="77777777" w:rsidR="00FC18F1" w:rsidRDefault="00FC18F1">
      <w:pPr>
        <w:pStyle w:val="Heading2"/>
        <w:spacing w:after="240"/>
        <w:rPr>
          <w:sz w:val="30"/>
          <w:szCs w:val="30"/>
        </w:rPr>
      </w:pPr>
    </w:p>
    <w:p w14:paraId="4C9ADCF6" w14:textId="77777777" w:rsidR="00FC18F1" w:rsidRDefault="00FC18F1">
      <w:pPr>
        <w:pStyle w:val="Heading2"/>
        <w:spacing w:after="240"/>
        <w:rPr>
          <w:sz w:val="30"/>
          <w:szCs w:val="30"/>
        </w:rPr>
      </w:pPr>
    </w:p>
    <w:p w14:paraId="7E4AB7A7" w14:textId="77777777" w:rsidR="00FC18F1" w:rsidRDefault="00FC18F1">
      <w:pPr>
        <w:pStyle w:val="Heading2"/>
        <w:spacing w:after="240"/>
        <w:rPr>
          <w:sz w:val="30"/>
          <w:szCs w:val="30"/>
        </w:rPr>
      </w:pPr>
    </w:p>
    <w:p w14:paraId="74E9B950" w14:textId="77777777" w:rsidR="00FC18F1" w:rsidRDefault="00FC18F1">
      <w:pPr>
        <w:pStyle w:val="Heading2"/>
        <w:spacing w:after="240"/>
        <w:rPr>
          <w:sz w:val="30"/>
          <w:szCs w:val="30"/>
        </w:rPr>
      </w:pPr>
    </w:p>
    <w:p w14:paraId="0540F586" w14:textId="77777777" w:rsidR="00FC18F1" w:rsidRDefault="00FC18F1">
      <w:pPr>
        <w:pStyle w:val="Heading2"/>
        <w:spacing w:after="240"/>
        <w:rPr>
          <w:sz w:val="30"/>
          <w:szCs w:val="30"/>
        </w:rPr>
      </w:pPr>
    </w:p>
    <w:p w14:paraId="35DFDA6F" w14:textId="77777777" w:rsidR="00FC18F1" w:rsidRDefault="00FC18F1">
      <w:pPr>
        <w:pStyle w:val="Heading2"/>
        <w:spacing w:after="240"/>
        <w:rPr>
          <w:sz w:val="30"/>
          <w:szCs w:val="30"/>
        </w:rPr>
      </w:pPr>
    </w:p>
    <w:p w14:paraId="0A78435C" w14:textId="77777777" w:rsidR="00FC18F1" w:rsidRDefault="00FC18F1">
      <w:pPr>
        <w:pStyle w:val="Heading2"/>
        <w:spacing w:after="240"/>
        <w:rPr>
          <w:sz w:val="30"/>
          <w:szCs w:val="30"/>
        </w:rPr>
      </w:pPr>
    </w:p>
    <w:p w14:paraId="5EFAA8AB" w14:textId="77777777" w:rsidR="00FC18F1" w:rsidRDefault="00FC18F1">
      <w:pPr>
        <w:pStyle w:val="Heading2"/>
        <w:spacing w:after="240"/>
        <w:rPr>
          <w:sz w:val="30"/>
          <w:szCs w:val="30"/>
        </w:rPr>
      </w:pPr>
    </w:p>
    <w:p w14:paraId="0000000E" w14:textId="42BCC5BD" w:rsidR="00B41E84" w:rsidRDefault="00000000">
      <w:pPr>
        <w:pStyle w:val="Heading2"/>
        <w:spacing w:after="240"/>
        <w:rPr>
          <w:sz w:val="30"/>
          <w:szCs w:val="30"/>
        </w:rPr>
      </w:pPr>
      <w:r>
        <w:rPr>
          <w:sz w:val="30"/>
          <w:szCs w:val="30"/>
        </w:rPr>
        <w:lastRenderedPageBreak/>
        <w:t>II. Mandatory Primary Citric Acid Pathway Selection</w:t>
      </w:r>
    </w:p>
    <w:p w14:paraId="0000000F" w14:textId="77777777" w:rsidR="00B41E84" w:rsidRDefault="00000000">
      <w:pPr>
        <w:pBdr>
          <w:top w:val="nil"/>
          <w:left w:val="nil"/>
          <w:bottom w:val="nil"/>
          <w:right w:val="nil"/>
          <w:between w:val="nil"/>
        </w:pBdr>
        <w:spacing w:after="240"/>
      </w:pPr>
      <w:r>
        <w:t>The managing clinician must select and verify the specific organic, plant-derived USP-monograph pure citric acid backbone to serve as the core alkalinizing pathway for this 6-month high-pH protocol:</w:t>
      </w:r>
    </w:p>
    <w:p w14:paraId="00000010" w14:textId="77777777" w:rsidR="00B41E84" w:rsidRDefault="00000000">
      <w:pPr>
        <w:numPr>
          <w:ilvl w:val="0"/>
          <w:numId w:val="2"/>
        </w:numPr>
        <w:pBdr>
          <w:top w:val="nil"/>
          <w:left w:val="nil"/>
          <w:bottom w:val="nil"/>
          <w:right w:val="nil"/>
          <w:between w:val="nil"/>
        </w:pBdr>
      </w:pPr>
      <w:r>
        <w:rPr>
          <w:b/>
          <w:bCs/>
        </w:rPr>
        <w:t xml:space="preserve">Nimbu-RX-850mg (Organic </w:t>
      </w:r>
      <w:r>
        <w:rPr>
          <w:b/>
          <w:bCs/>
          <w:i/>
          <w:iCs/>
        </w:rPr>
        <w:t xml:space="preserve">Citrus </w:t>
      </w:r>
      <w:proofErr w:type="spellStart"/>
      <w:r>
        <w:rPr>
          <w:b/>
          <w:bCs/>
          <w:i/>
          <w:iCs/>
        </w:rPr>
        <w:t>aurantiifolia</w:t>
      </w:r>
      <w:proofErr w:type="spellEnd"/>
      <w:r>
        <w:rPr>
          <w:b/>
          <w:bCs/>
        </w:rPr>
        <w:t xml:space="preserve"> Matrix):</w:t>
      </w:r>
      <w:r>
        <w:rPr>
          <w:color w:val="000000"/>
        </w:rPr>
        <w:br/>
      </w:r>
      <w:r>
        <w:t xml:space="preserve">A 100% organic, plant-derived formulation delivering exactly 850 mg of active-equivalent citrate matrix per unit dose via low-temperature physical vacuum sublimation. Highly </w:t>
      </w:r>
      <w:proofErr w:type="gramStart"/>
      <w:r>
        <w:t>recommended for</w:t>
      </w:r>
      <w:proofErr w:type="gramEnd"/>
      <w:r>
        <w:t xml:space="preserve"> oncology supportive care and aggressive nephrolithiasis dissolution pathways requiring calculated systemic bicarbonate generation.</w:t>
      </w:r>
    </w:p>
    <w:p w14:paraId="00000011" w14:textId="77777777" w:rsidR="00B41E84" w:rsidRDefault="00000000">
      <w:pPr>
        <w:numPr>
          <w:ilvl w:val="0"/>
          <w:numId w:val="2"/>
        </w:numPr>
        <w:pBdr>
          <w:top w:val="nil"/>
          <w:left w:val="nil"/>
          <w:bottom w:val="nil"/>
          <w:right w:val="nil"/>
          <w:between w:val="nil"/>
        </w:pBdr>
      </w:pPr>
      <w:r>
        <w:rPr>
          <w:b/>
          <w:bCs/>
        </w:rPr>
        <w:t xml:space="preserve">LimauYM-450mg (Organic </w:t>
      </w:r>
      <w:r>
        <w:rPr>
          <w:b/>
          <w:bCs/>
          <w:i/>
          <w:iCs/>
        </w:rPr>
        <w:t>Citrus limon</w:t>
      </w:r>
      <w:r>
        <w:rPr>
          <w:b/>
          <w:bCs/>
        </w:rPr>
        <w:t xml:space="preserve"> Matrix):</w:t>
      </w:r>
      <w:r>
        <w:rPr>
          <w:color w:val="000000"/>
        </w:rPr>
        <w:br/>
      </w:r>
      <w:r>
        <w:t>A 100% organic, plant-derived standardized extraction matrix providing 450 mg of unadulterated citric acid combined with natural citrus flavonoids and monoterpenes. Formulated for rapid validation turnarounds, accelerated regulatory profiling, and highly gentle gastric mucosal clearance models.</w:t>
      </w:r>
    </w:p>
    <w:p w14:paraId="28A3D8C5" w14:textId="77777777" w:rsidR="00FC18F1" w:rsidRDefault="00000000">
      <w:pPr>
        <w:pStyle w:val="Heading2"/>
      </w:pPr>
      <w:r>
        <w:pict w14:anchorId="7C389734">
          <v:rect id="_x0000_i1040" style="width:0;height:1.5pt" o:hralign="center" o:bullet="t" o:hrstd="t" o:hr="t" fillcolor="#a0a0a0" stroked="f"/>
        </w:pict>
      </w:r>
    </w:p>
    <w:p w14:paraId="259D9AC1" w14:textId="77777777" w:rsidR="00FC18F1" w:rsidRDefault="00FC18F1">
      <w:pPr>
        <w:pStyle w:val="Heading2"/>
        <w:rPr>
          <w:sz w:val="30"/>
          <w:szCs w:val="30"/>
        </w:rPr>
      </w:pPr>
    </w:p>
    <w:p w14:paraId="7068DE3B" w14:textId="77777777" w:rsidR="00FC18F1" w:rsidRDefault="00FC18F1">
      <w:pPr>
        <w:pStyle w:val="Heading2"/>
        <w:rPr>
          <w:sz w:val="30"/>
          <w:szCs w:val="30"/>
        </w:rPr>
      </w:pPr>
    </w:p>
    <w:p w14:paraId="7FBC2DA6" w14:textId="77777777" w:rsidR="00FC18F1" w:rsidRDefault="00FC18F1">
      <w:pPr>
        <w:pStyle w:val="Heading2"/>
        <w:rPr>
          <w:sz w:val="30"/>
          <w:szCs w:val="30"/>
        </w:rPr>
      </w:pPr>
    </w:p>
    <w:p w14:paraId="6182BFD4" w14:textId="77777777" w:rsidR="00FC18F1" w:rsidRDefault="00FC18F1">
      <w:pPr>
        <w:pStyle w:val="Heading2"/>
        <w:rPr>
          <w:sz w:val="30"/>
          <w:szCs w:val="30"/>
        </w:rPr>
      </w:pPr>
    </w:p>
    <w:p w14:paraId="351F9697" w14:textId="77777777" w:rsidR="00FC18F1" w:rsidRDefault="00FC18F1">
      <w:pPr>
        <w:pStyle w:val="Heading2"/>
        <w:rPr>
          <w:sz w:val="30"/>
          <w:szCs w:val="30"/>
        </w:rPr>
      </w:pPr>
    </w:p>
    <w:p w14:paraId="293C3E2C" w14:textId="77777777" w:rsidR="00FC18F1" w:rsidRDefault="00FC18F1">
      <w:pPr>
        <w:pStyle w:val="Heading2"/>
        <w:rPr>
          <w:sz w:val="30"/>
          <w:szCs w:val="30"/>
        </w:rPr>
      </w:pPr>
    </w:p>
    <w:p w14:paraId="6AC2A89F" w14:textId="77777777" w:rsidR="00FC18F1" w:rsidRDefault="00FC18F1">
      <w:pPr>
        <w:pStyle w:val="Heading2"/>
        <w:rPr>
          <w:sz w:val="30"/>
          <w:szCs w:val="30"/>
        </w:rPr>
      </w:pPr>
    </w:p>
    <w:p w14:paraId="4F386A9C" w14:textId="77777777" w:rsidR="00FC18F1" w:rsidRDefault="00FC18F1">
      <w:pPr>
        <w:pStyle w:val="Heading2"/>
        <w:rPr>
          <w:sz w:val="30"/>
          <w:szCs w:val="30"/>
        </w:rPr>
      </w:pPr>
    </w:p>
    <w:p w14:paraId="484775B1" w14:textId="77777777" w:rsidR="00FC18F1" w:rsidRDefault="00FC18F1">
      <w:pPr>
        <w:pStyle w:val="Heading2"/>
        <w:rPr>
          <w:sz w:val="30"/>
          <w:szCs w:val="30"/>
        </w:rPr>
      </w:pPr>
    </w:p>
    <w:p w14:paraId="1D55712A" w14:textId="77777777" w:rsidR="00FC18F1" w:rsidRDefault="00FC18F1">
      <w:pPr>
        <w:pStyle w:val="Heading2"/>
        <w:rPr>
          <w:sz w:val="30"/>
          <w:szCs w:val="30"/>
        </w:rPr>
      </w:pPr>
    </w:p>
    <w:p w14:paraId="331FC51A" w14:textId="77777777" w:rsidR="00FC18F1" w:rsidRDefault="00FC18F1">
      <w:pPr>
        <w:pStyle w:val="Heading2"/>
        <w:rPr>
          <w:sz w:val="30"/>
          <w:szCs w:val="30"/>
        </w:rPr>
      </w:pPr>
    </w:p>
    <w:p w14:paraId="7D886D9B" w14:textId="77777777" w:rsidR="00FC18F1" w:rsidRDefault="00FC18F1">
      <w:pPr>
        <w:pStyle w:val="Heading2"/>
        <w:rPr>
          <w:sz w:val="30"/>
          <w:szCs w:val="30"/>
        </w:rPr>
      </w:pPr>
    </w:p>
    <w:p w14:paraId="721D6A1D" w14:textId="77777777" w:rsidR="00FC18F1" w:rsidRDefault="00FC18F1">
      <w:pPr>
        <w:pStyle w:val="Heading2"/>
        <w:rPr>
          <w:sz w:val="30"/>
          <w:szCs w:val="30"/>
        </w:rPr>
      </w:pPr>
    </w:p>
    <w:p w14:paraId="65B8C641" w14:textId="77777777" w:rsidR="00FC18F1" w:rsidRDefault="00FC18F1">
      <w:pPr>
        <w:pStyle w:val="Heading2"/>
        <w:rPr>
          <w:sz w:val="30"/>
          <w:szCs w:val="30"/>
        </w:rPr>
      </w:pPr>
    </w:p>
    <w:p w14:paraId="00000012" w14:textId="6D7CBF03" w:rsidR="00B41E84" w:rsidRDefault="00000000">
      <w:pPr>
        <w:pStyle w:val="Heading2"/>
        <w:rPr>
          <w:sz w:val="30"/>
          <w:szCs w:val="30"/>
        </w:rPr>
      </w:pPr>
      <w:r>
        <w:rPr>
          <w:sz w:val="30"/>
          <w:szCs w:val="30"/>
        </w:rPr>
        <w:lastRenderedPageBreak/>
        <w:t>III. Standardized Clinical Protocol &amp; Administration</w:t>
      </w:r>
    </w:p>
    <w:p w14:paraId="00000013" w14:textId="77777777" w:rsidR="00B41E84" w:rsidRDefault="00B41E84">
      <w:pPr>
        <w:pBdr>
          <w:top w:val="nil"/>
          <w:left w:val="nil"/>
          <w:bottom w:val="nil"/>
          <w:right w:val="nil"/>
          <w:between w:val="nil"/>
        </w:pBdr>
        <w:spacing w:before="240" w:after="240"/>
        <w:ind w:left="240" w:right="240"/>
        <w:rPr>
          <w:b/>
          <w:bCs/>
          <w:sz w:val="30"/>
          <w:szCs w:val="30"/>
        </w:rPr>
      </w:pPr>
    </w:p>
    <w:p w14:paraId="00000014" w14:textId="77777777" w:rsidR="00B41E84"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w:t>
      </w:r>
      <w:r>
        <w:rPr>
          <w:rFonts w:ascii="Courier" w:eastAsia="Courier" w:hAnsi="Courier" w:cs="Courier"/>
          <w:shd w:val="clear" w:color="auto" w:fill="F4F6F7"/>
        </w:rPr>
        <w:br/>
      </w:r>
      <w:r>
        <w:rPr>
          <w:rFonts w:ascii="Courier" w:eastAsia="Courier" w:hAnsi="Courier" w:cs="Courier"/>
          <w:shd w:val="clear" w:color="auto" w:fill="F4F6F7"/>
        </w:rPr>
        <w:br/>
        <w:t>| Botanical Matrix Component   | Unit Standardization   | 24-Hour Administration Schedule          |</w:t>
      </w:r>
      <w:r>
        <w:rPr>
          <w:rFonts w:ascii="Courier" w:eastAsia="Courier" w:hAnsi="Courier" w:cs="Courier"/>
          <w:shd w:val="clear" w:color="auto" w:fill="F4F6F7"/>
        </w:rPr>
        <w:br/>
        <w:t>+==============================+========================+==========================================+</w:t>
      </w:r>
      <w:r>
        <w:rPr>
          <w:rFonts w:ascii="Courier" w:eastAsia="Courier" w:hAnsi="Courier" w:cs="Courier"/>
          <w:shd w:val="clear" w:color="auto" w:fill="F4F6F7"/>
        </w:rPr>
        <w:br/>
      </w:r>
      <w:r>
        <w:rPr>
          <w:rFonts w:ascii="Courier" w:eastAsia="Courier" w:hAnsi="Courier" w:cs="Courier"/>
          <w:shd w:val="clear" w:color="auto" w:fill="F4F6F7"/>
        </w:rPr>
        <w:br/>
        <w:t>| Primary Selected Pathway     | Selected Plant-Derived | Titrated to achieve steady-state 8.0 pH  |</w:t>
      </w:r>
      <w:r>
        <w:rPr>
          <w:rFonts w:ascii="Courier" w:eastAsia="Courier" w:hAnsi="Courier" w:cs="Courier"/>
          <w:shd w:val="clear" w:color="auto" w:fill="F4F6F7"/>
        </w:rPr>
        <w:br/>
        <w:t>| (</w:t>
      </w:r>
      <w:proofErr w:type="spellStart"/>
      <w:r>
        <w:rPr>
          <w:rFonts w:ascii="Courier" w:eastAsia="Courier" w:hAnsi="Courier" w:cs="Courier"/>
          <w:shd w:val="clear" w:color="auto" w:fill="F4F6F7"/>
        </w:rPr>
        <w:t>Nimbu</w:t>
      </w:r>
      <w:proofErr w:type="spellEnd"/>
      <w:r>
        <w:rPr>
          <w:rFonts w:ascii="Courier" w:eastAsia="Courier" w:hAnsi="Courier" w:cs="Courier"/>
          <w:shd w:val="clear" w:color="auto" w:fill="F4F6F7"/>
        </w:rPr>
        <w:t xml:space="preserve">-RX or </w:t>
      </w:r>
      <w:proofErr w:type="spellStart"/>
      <w:r>
        <w:rPr>
          <w:rFonts w:ascii="Courier" w:eastAsia="Courier" w:hAnsi="Courier" w:cs="Courier"/>
          <w:shd w:val="clear" w:color="auto" w:fill="F4F6F7"/>
        </w:rPr>
        <w:t>LimauYM</w:t>
      </w:r>
      <w:proofErr w:type="spellEnd"/>
      <w:r>
        <w:rPr>
          <w:rFonts w:ascii="Courier" w:eastAsia="Courier" w:hAnsi="Courier" w:cs="Courier"/>
          <w:shd w:val="clear" w:color="auto" w:fill="F4F6F7"/>
        </w:rPr>
        <w:t>)        | Citric Acid Core       | (e.g., 2 Unit Doses, 4x Daily)          |</w:t>
      </w:r>
      <w:r>
        <w:rPr>
          <w:rFonts w:ascii="Courier" w:eastAsia="Courier" w:hAnsi="Courier" w:cs="Courier"/>
          <w:shd w:val="clear" w:color="auto" w:fill="F4F6F7"/>
        </w:rPr>
        <w:br/>
        <w:t>+------------------------------+------------------------+------------------------------------------+</w:t>
      </w:r>
      <w:r>
        <w:rPr>
          <w:rFonts w:ascii="Courier" w:eastAsia="Courier" w:hAnsi="Courier" w:cs="Courier"/>
          <w:shd w:val="clear" w:color="auto" w:fill="F4F6F7"/>
        </w:rPr>
        <w:br/>
      </w:r>
      <w:r>
        <w:rPr>
          <w:rFonts w:ascii="Courier" w:eastAsia="Courier" w:hAnsi="Courier" w:cs="Courier"/>
          <w:shd w:val="clear" w:color="auto" w:fill="F4F6F7"/>
        </w:rPr>
        <w:br/>
        <w:t xml:space="preserve">| </w:t>
      </w:r>
      <w:proofErr w:type="spellStart"/>
      <w:r>
        <w:rPr>
          <w:rFonts w:ascii="Courier" w:eastAsia="Courier" w:hAnsi="Courier" w:cs="Courier"/>
          <w:shd w:val="clear" w:color="auto" w:fill="F4F6F7"/>
        </w:rPr>
        <w:t>KureaSH</w:t>
      </w:r>
      <w:proofErr w:type="spellEnd"/>
      <w:r>
        <w:rPr>
          <w:rFonts w:ascii="Courier" w:eastAsia="Courier" w:hAnsi="Courier" w:cs="Courier"/>
          <w:shd w:val="clear" w:color="auto" w:fill="F4F6F7"/>
        </w:rPr>
        <w:t>™ (Orphan Creatine)   | 3000 mg Purity Blend   | 1 Unit Dose, 1x Daily (With AM Nutrition)|</w:t>
      </w:r>
      <w:r>
        <w:rPr>
          <w:rFonts w:ascii="Courier" w:eastAsia="Courier" w:hAnsi="Courier" w:cs="Courier"/>
          <w:shd w:val="clear" w:color="auto" w:fill="F4F6F7"/>
        </w:rPr>
        <w:br/>
        <w:t>+==============================+========================+==========================================+</w:t>
      </w:r>
      <w:r>
        <w:rPr>
          <w:rFonts w:ascii="Courier" w:eastAsia="Courier" w:hAnsi="Courier" w:cs="Courier"/>
          <w:shd w:val="clear" w:color="auto" w:fill="F4F6F7"/>
        </w:rPr>
        <w:br/>
      </w:r>
    </w:p>
    <w:p w14:paraId="00000015" w14:textId="77777777" w:rsidR="00B41E84" w:rsidRDefault="00000000">
      <w:pPr>
        <w:numPr>
          <w:ilvl w:val="0"/>
          <w:numId w:val="3"/>
        </w:numPr>
        <w:pBdr>
          <w:top w:val="nil"/>
          <w:left w:val="nil"/>
          <w:bottom w:val="nil"/>
          <w:right w:val="nil"/>
          <w:between w:val="nil"/>
        </w:pBdr>
      </w:pPr>
      <w:r>
        <w:rPr>
          <w:b/>
          <w:bCs/>
        </w:rPr>
        <w:t>Reconstitution and Sourcing:</w:t>
      </w:r>
      <w:r>
        <w:t xml:space="preserve"> The selected plant-derived crystalline citrus matrix must be fully reconstituted in 4 to 6 ounces of room-temperature or cool water. Warm or boiling fluids must be avoided to prevent the thermal degradation of native bioflavonoids and delicate volatile oils. Physical product labels must be double-checked by the pharmacy against internal batch records to verify exact milligram configurations before clinical deployment.</w:t>
      </w:r>
    </w:p>
    <w:p w14:paraId="00000016" w14:textId="77777777" w:rsidR="00B41E84" w:rsidRDefault="00000000">
      <w:pPr>
        <w:numPr>
          <w:ilvl w:val="0"/>
          <w:numId w:val="3"/>
        </w:numPr>
        <w:pBdr>
          <w:top w:val="nil"/>
          <w:left w:val="nil"/>
          <w:bottom w:val="nil"/>
          <w:right w:val="nil"/>
          <w:between w:val="nil"/>
        </w:pBdr>
      </w:pPr>
      <w:r>
        <w:rPr>
          <w:b/>
          <w:bCs/>
        </w:rPr>
        <w:t>Administration Guidelines:</w:t>
      </w:r>
      <w:r>
        <w:t xml:space="preserve"> The single daily 3000 mg dose of </w:t>
      </w:r>
      <w:proofErr w:type="spellStart"/>
      <w:r>
        <w:t>KureaSH</w:t>
      </w:r>
      <w:proofErr w:type="spellEnd"/>
      <w:r>
        <w:t>™ must be administered concurrently with the first morning titration of the primary citrus matrix to unify systemic assimilation curves.</w:t>
      </w:r>
    </w:p>
    <w:p w14:paraId="00000017" w14:textId="77777777" w:rsidR="00B41E84" w:rsidRDefault="00000000">
      <w:pPr>
        <w:numPr>
          <w:ilvl w:val="0"/>
          <w:numId w:val="3"/>
        </w:numPr>
        <w:pBdr>
          <w:top w:val="nil"/>
          <w:left w:val="nil"/>
          <w:bottom w:val="nil"/>
          <w:right w:val="nil"/>
          <w:between w:val="nil"/>
        </w:pBdr>
      </w:pPr>
      <w:r>
        <w:rPr>
          <w:b/>
          <w:bCs/>
        </w:rPr>
        <w:t>Dental Hydroxyapatite Guard:</w:t>
      </w:r>
      <w:r>
        <w:t xml:space="preserve"> Because plant-derived citrus configurations possess native localized acidity before absorption, the patient must perform a mandatory </w:t>
      </w:r>
      <w:r>
        <w:rPr>
          <w:b/>
          <w:bCs/>
        </w:rPr>
        <w:t>5-minute post-dose water rinse</w:t>
      </w:r>
      <w:r>
        <w:t xml:space="preserve"> after every administration to thoroughly safeguard dental enamel from initial surface acidities.</w:t>
      </w:r>
    </w:p>
    <w:p w14:paraId="00000018" w14:textId="77777777" w:rsidR="00B41E84" w:rsidRDefault="00000000">
      <w:pPr>
        <w:numPr>
          <w:ilvl w:val="0"/>
          <w:numId w:val="3"/>
        </w:numPr>
        <w:pBdr>
          <w:top w:val="nil"/>
          <w:left w:val="nil"/>
          <w:bottom w:val="nil"/>
          <w:right w:val="nil"/>
          <w:between w:val="nil"/>
        </w:pBdr>
      </w:pPr>
      <w:r>
        <w:rPr>
          <w:b/>
          <w:bCs/>
        </w:rPr>
        <w:t>Oral Mucositis Interruption Alert:</w:t>
      </w:r>
      <w:r>
        <w:t xml:space="preserve"> Clinicians must inspect the oral cavity bi-weekly. If the individual presents with active chemotherapy- or radiation-induced Oral Mucositis tracking at a </w:t>
      </w:r>
      <w:r>
        <w:rPr>
          <w:b/>
          <w:bCs/>
        </w:rPr>
        <w:t>WHO Visual Mucositis Grade $\</w:t>
      </w:r>
      <w:proofErr w:type="spellStart"/>
      <w:r>
        <w:rPr>
          <w:b/>
          <w:bCs/>
        </w:rPr>
        <w:t>geq</w:t>
      </w:r>
      <w:proofErr w:type="spellEnd"/>
      <w:r>
        <w:rPr>
          <w:b/>
          <w:bCs/>
        </w:rPr>
        <w:t xml:space="preserve"> 2$</w:t>
      </w:r>
      <w:r>
        <w:t>, administration of the organic citrus matrix must be suspended immediately to avoid severe localized tissue pain and mucosal burning.</w:t>
      </w:r>
    </w:p>
    <w:p w14:paraId="54458807" w14:textId="77777777" w:rsidR="00FC18F1" w:rsidRDefault="00000000">
      <w:pPr>
        <w:pStyle w:val="Heading2"/>
      </w:pPr>
      <w:r>
        <w:pict w14:anchorId="04701FDC">
          <v:rect id="_x0000_i1043" style="width:0;height:1.5pt" o:hralign="center" o:bullet="t" o:hrstd="t" o:hr="t" fillcolor="#a0a0a0" stroked="f"/>
        </w:pict>
      </w:r>
    </w:p>
    <w:p w14:paraId="7BE9555E" w14:textId="77777777" w:rsidR="00FC18F1" w:rsidRDefault="00FC18F1">
      <w:pPr>
        <w:pStyle w:val="Heading2"/>
        <w:rPr>
          <w:sz w:val="30"/>
          <w:szCs w:val="30"/>
        </w:rPr>
      </w:pPr>
    </w:p>
    <w:p w14:paraId="6E7E13A7" w14:textId="77777777" w:rsidR="00FC18F1" w:rsidRDefault="00FC18F1">
      <w:pPr>
        <w:pStyle w:val="Heading2"/>
        <w:rPr>
          <w:sz w:val="30"/>
          <w:szCs w:val="30"/>
        </w:rPr>
      </w:pPr>
    </w:p>
    <w:p w14:paraId="00000019" w14:textId="417CDED9" w:rsidR="00B41E84" w:rsidRDefault="00000000">
      <w:pPr>
        <w:pStyle w:val="Heading2"/>
        <w:rPr>
          <w:sz w:val="30"/>
          <w:szCs w:val="30"/>
        </w:rPr>
      </w:pPr>
      <w:r>
        <w:rPr>
          <w:sz w:val="30"/>
          <w:szCs w:val="30"/>
        </w:rPr>
        <w:lastRenderedPageBreak/>
        <w:t>IV. Safety Monitoring &amp; Mandatory Stopping Criteria</w:t>
      </w:r>
    </w:p>
    <w:p w14:paraId="0000001A" w14:textId="77777777" w:rsidR="00B41E84" w:rsidRDefault="00000000">
      <w:pPr>
        <w:numPr>
          <w:ilvl w:val="0"/>
          <w:numId w:val="4"/>
        </w:numPr>
        <w:pBdr>
          <w:top w:val="nil"/>
          <w:left w:val="nil"/>
          <w:bottom w:val="nil"/>
          <w:right w:val="nil"/>
          <w:between w:val="nil"/>
        </w:pBdr>
      </w:pPr>
      <w:r>
        <w:rPr>
          <w:b/>
          <w:bCs/>
        </w:rPr>
        <w:t>Bi-Weekly Metabolic Surrounds:</w:t>
      </w:r>
      <w:r>
        <w:t xml:space="preserve"> Serum electrolytes ($\</w:t>
      </w:r>
      <w:proofErr w:type="gramStart"/>
      <w:r>
        <w:t>text{</w:t>
      </w:r>
      <w:proofErr w:type="gramEnd"/>
      <w:r>
        <w:t>Na}^+$, $\text{K}^+$, $\</w:t>
      </w:r>
      <w:proofErr w:type="gramStart"/>
      <w:r>
        <w:t>text{</w:t>
      </w:r>
      <w:proofErr w:type="gramEnd"/>
      <w:r>
        <w:t>Cl}^-$, $\</w:t>
      </w:r>
      <w:proofErr w:type="gramStart"/>
      <w:r>
        <w:t>text{</w:t>
      </w:r>
      <w:proofErr w:type="gramEnd"/>
      <w:r>
        <w:t>HCO}_3^-$) and total renal clearance markers (BUN and Creatinine) must be logged every 14 days during the first 60 days of the protocol. If serum bicarbonate ($\</w:t>
      </w:r>
      <w:proofErr w:type="gramStart"/>
      <w:r>
        <w:t>text{</w:t>
      </w:r>
      <w:proofErr w:type="gramEnd"/>
      <w:r>
        <w:t xml:space="preserve">HCO}_3^-$) exceeds 32 </w:t>
      </w:r>
      <w:proofErr w:type="spellStart"/>
      <w:r>
        <w:t>mEq</w:t>
      </w:r>
      <w:proofErr w:type="spellEnd"/>
      <w:r>
        <w:t>/L, the primary citrus dosage must be down-titrated immediately to mitigate the risk of uncompensated systemic metabolic alkalosis.</w:t>
      </w:r>
    </w:p>
    <w:p w14:paraId="0000001B" w14:textId="77777777" w:rsidR="00B41E84" w:rsidRDefault="00000000">
      <w:pPr>
        <w:numPr>
          <w:ilvl w:val="0"/>
          <w:numId w:val="4"/>
        </w:numPr>
        <w:pBdr>
          <w:top w:val="nil"/>
          <w:left w:val="nil"/>
          <w:bottom w:val="nil"/>
          <w:right w:val="nil"/>
          <w:between w:val="nil"/>
        </w:pBdr>
      </w:pPr>
      <w:r>
        <w:rPr>
          <w:b/>
          <w:bCs/>
        </w:rPr>
        <w:t>Crystalluria Microscopic Screen:</w:t>
      </w:r>
      <w:r>
        <w:t xml:space="preserve"> Complete urinalysis must be executed monthly. Because maintaining a continuous urinary pH plateau of 8.0 inherently minimizes calcium phosphate solubility, the emergence of calcium phosphate crystal clusters mandates lowering the physiological target endpoint to pH 7.5.</w:t>
      </w:r>
    </w:p>
    <w:p w14:paraId="0000001C" w14:textId="77777777" w:rsidR="00B41E84" w:rsidRDefault="00000000">
      <w:pPr>
        <w:numPr>
          <w:ilvl w:val="0"/>
          <w:numId w:val="4"/>
        </w:numPr>
        <w:pBdr>
          <w:top w:val="nil"/>
          <w:left w:val="nil"/>
          <w:bottom w:val="nil"/>
          <w:right w:val="nil"/>
          <w:between w:val="nil"/>
        </w:pBdr>
      </w:pPr>
      <w:r>
        <w:rPr>
          <w:b/>
          <w:bCs/>
        </w:rPr>
        <w:t>Renal Fluid and Telehealth Gating:</w:t>
      </w:r>
      <w:r>
        <w:t xml:space="preserve"> Remote clinical surveillance may be supported via visual and acoustic telehealth monitoring arrays to watch for coughing fits or laryngeal spasms. Ensure that patient hydration is maintained to balance the osmotic fluid requirements of high-dose creatine monohydrate alongside the 24-hour citrate titration curve.</w:t>
      </w:r>
    </w:p>
    <w:p w14:paraId="1F8FEE35" w14:textId="77777777" w:rsidR="00FC18F1" w:rsidRDefault="00000000">
      <w:pPr>
        <w:pStyle w:val="Heading2"/>
        <w:spacing w:after="240"/>
      </w:pPr>
      <w:r>
        <w:pict w14:anchorId="416DCBB2">
          <v:rect id="_x0000_i1046" style="width:0;height:1.5pt" o:hralign="center" o:bullet="t" o:hrstd="t" o:hr="t" fillcolor="#a0a0a0" stroked="f"/>
        </w:pict>
      </w:r>
    </w:p>
    <w:p w14:paraId="1A3FC175" w14:textId="77777777" w:rsidR="00FC18F1" w:rsidRDefault="00FC18F1">
      <w:pPr>
        <w:pStyle w:val="Heading2"/>
        <w:spacing w:after="240"/>
        <w:rPr>
          <w:sz w:val="30"/>
          <w:szCs w:val="30"/>
        </w:rPr>
      </w:pPr>
    </w:p>
    <w:p w14:paraId="20B1AD61" w14:textId="77777777" w:rsidR="00FC18F1" w:rsidRDefault="00FC18F1">
      <w:pPr>
        <w:pStyle w:val="Heading2"/>
        <w:spacing w:after="240"/>
        <w:rPr>
          <w:sz w:val="30"/>
          <w:szCs w:val="30"/>
        </w:rPr>
      </w:pPr>
    </w:p>
    <w:p w14:paraId="6EEEC872" w14:textId="77777777" w:rsidR="00FC18F1" w:rsidRDefault="00FC18F1">
      <w:pPr>
        <w:pStyle w:val="Heading2"/>
        <w:spacing w:after="240"/>
        <w:rPr>
          <w:sz w:val="30"/>
          <w:szCs w:val="30"/>
        </w:rPr>
      </w:pPr>
    </w:p>
    <w:p w14:paraId="04BB25F3" w14:textId="77777777" w:rsidR="00FC18F1" w:rsidRDefault="00FC18F1">
      <w:pPr>
        <w:pStyle w:val="Heading2"/>
        <w:spacing w:after="240"/>
        <w:rPr>
          <w:sz w:val="30"/>
          <w:szCs w:val="30"/>
        </w:rPr>
      </w:pPr>
    </w:p>
    <w:p w14:paraId="416E00D9" w14:textId="77777777" w:rsidR="00FC18F1" w:rsidRDefault="00FC18F1">
      <w:pPr>
        <w:pStyle w:val="Heading2"/>
        <w:spacing w:after="240"/>
        <w:rPr>
          <w:sz w:val="30"/>
          <w:szCs w:val="30"/>
        </w:rPr>
      </w:pPr>
    </w:p>
    <w:p w14:paraId="4B0528E4" w14:textId="77777777" w:rsidR="00FC18F1" w:rsidRDefault="00FC18F1">
      <w:pPr>
        <w:pStyle w:val="Heading2"/>
        <w:spacing w:after="240"/>
        <w:rPr>
          <w:sz w:val="30"/>
          <w:szCs w:val="30"/>
        </w:rPr>
      </w:pPr>
    </w:p>
    <w:p w14:paraId="02DA7422" w14:textId="77777777" w:rsidR="00FC18F1" w:rsidRDefault="00FC18F1">
      <w:pPr>
        <w:pStyle w:val="Heading2"/>
        <w:spacing w:after="240"/>
        <w:rPr>
          <w:sz w:val="30"/>
          <w:szCs w:val="30"/>
        </w:rPr>
      </w:pPr>
    </w:p>
    <w:p w14:paraId="27613902" w14:textId="77777777" w:rsidR="00FC18F1" w:rsidRDefault="00FC18F1">
      <w:pPr>
        <w:pStyle w:val="Heading2"/>
        <w:spacing w:after="240"/>
        <w:rPr>
          <w:sz w:val="30"/>
          <w:szCs w:val="30"/>
        </w:rPr>
      </w:pPr>
    </w:p>
    <w:p w14:paraId="1A6B6D32" w14:textId="77777777" w:rsidR="00FC18F1" w:rsidRDefault="00FC18F1">
      <w:pPr>
        <w:pStyle w:val="Heading2"/>
        <w:spacing w:after="240"/>
        <w:rPr>
          <w:sz w:val="30"/>
          <w:szCs w:val="30"/>
        </w:rPr>
      </w:pPr>
    </w:p>
    <w:p w14:paraId="563E9173" w14:textId="77777777" w:rsidR="00FC18F1" w:rsidRDefault="00FC18F1">
      <w:pPr>
        <w:pStyle w:val="Heading2"/>
        <w:spacing w:after="240"/>
        <w:rPr>
          <w:sz w:val="30"/>
          <w:szCs w:val="30"/>
        </w:rPr>
      </w:pPr>
    </w:p>
    <w:p w14:paraId="0517A528" w14:textId="77777777" w:rsidR="00FC18F1" w:rsidRDefault="00FC18F1">
      <w:pPr>
        <w:pStyle w:val="Heading2"/>
        <w:spacing w:after="240"/>
        <w:rPr>
          <w:sz w:val="30"/>
          <w:szCs w:val="30"/>
        </w:rPr>
      </w:pPr>
    </w:p>
    <w:p w14:paraId="4934B7E9" w14:textId="77777777" w:rsidR="00FC18F1" w:rsidRDefault="00FC18F1">
      <w:pPr>
        <w:pStyle w:val="Heading2"/>
        <w:spacing w:after="240"/>
        <w:rPr>
          <w:sz w:val="30"/>
          <w:szCs w:val="30"/>
        </w:rPr>
      </w:pPr>
    </w:p>
    <w:p w14:paraId="03F0289E" w14:textId="77777777" w:rsidR="00FC18F1" w:rsidRDefault="00FC18F1">
      <w:pPr>
        <w:pStyle w:val="Heading2"/>
        <w:spacing w:after="240"/>
        <w:rPr>
          <w:sz w:val="30"/>
          <w:szCs w:val="30"/>
        </w:rPr>
      </w:pPr>
    </w:p>
    <w:p w14:paraId="0000001D" w14:textId="068052AB" w:rsidR="00B41E84" w:rsidRDefault="00000000">
      <w:pPr>
        <w:pStyle w:val="Heading2"/>
        <w:spacing w:after="240"/>
        <w:rPr>
          <w:sz w:val="30"/>
          <w:szCs w:val="30"/>
        </w:rPr>
      </w:pPr>
      <w:r>
        <w:rPr>
          <w:sz w:val="30"/>
          <w:szCs w:val="30"/>
        </w:rPr>
        <w:lastRenderedPageBreak/>
        <w:t>V. Patient Informed Consent &amp; Authorization Signatures</w:t>
      </w:r>
    </w:p>
    <w:p w14:paraId="0000001E" w14:textId="77777777" w:rsidR="00B41E84" w:rsidRDefault="00000000">
      <w:pPr>
        <w:pBdr>
          <w:top w:val="nil"/>
          <w:left w:val="nil"/>
          <w:bottom w:val="nil"/>
          <w:right w:val="nil"/>
          <w:between w:val="nil"/>
        </w:pBdr>
        <w:spacing w:after="240"/>
      </w:pPr>
      <w:r>
        <w:t>I acknowledge that my participation in this 6-month integrative organic protocol is completely voluntary. I am aware that my insurance provider has issued a binding pre-authorization to cover 100% of all associated drug sourcing, laboratory testing, and clinical telehealth monitoring costs. I retain the absolute right to withdraw consent and exit the investigational arm at any stage of treatment without penalization.</w:t>
      </w:r>
    </w:p>
    <w:p w14:paraId="0000001F" w14:textId="77777777" w:rsidR="00B41E84" w:rsidRDefault="00B41E84">
      <w:pPr>
        <w:pBdr>
          <w:top w:val="nil"/>
          <w:left w:val="nil"/>
          <w:bottom w:val="nil"/>
          <w:right w:val="nil"/>
          <w:between w:val="nil"/>
        </w:pBdr>
        <w:spacing w:before="240" w:after="240"/>
        <w:ind w:left="240" w:right="240"/>
      </w:pPr>
    </w:p>
    <w:p w14:paraId="00000020" w14:textId="77777777" w:rsidR="00B41E84"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________________________________________          __________________</w:t>
      </w:r>
      <w:r>
        <w:rPr>
          <w:rFonts w:ascii="Courier" w:eastAsia="Courier" w:hAnsi="Courier" w:cs="Courier"/>
          <w:shd w:val="clear" w:color="auto" w:fill="F4F6F7"/>
        </w:rPr>
        <w:br/>
        <w:t>Patient Signature                                 Date</w:t>
      </w:r>
      <w:r>
        <w:rPr>
          <w:rFonts w:ascii="Courier" w:eastAsia="Courier" w:hAnsi="Courier" w:cs="Courier"/>
          <w:shd w:val="clear" w:color="auto" w:fill="F4F6F7"/>
        </w:rPr>
        <w:br/>
      </w:r>
      <w:r>
        <w:rPr>
          <w:rFonts w:ascii="Courier" w:eastAsia="Courier" w:hAnsi="Courier" w:cs="Courier"/>
          <w:shd w:val="clear" w:color="auto" w:fill="F4F6F7"/>
        </w:rPr>
        <w:br/>
        <w:t>________________________________________          __________________</w:t>
      </w:r>
      <w:r>
        <w:rPr>
          <w:rFonts w:ascii="Courier" w:eastAsia="Courier" w:hAnsi="Courier" w:cs="Courier"/>
          <w:shd w:val="clear" w:color="auto" w:fill="F4F6F7"/>
        </w:rPr>
        <w:br/>
        <w:t xml:space="preserve">Physician Signature (Principal </w:t>
      </w:r>
      <w:proofErr w:type="gramStart"/>
      <w:r>
        <w:rPr>
          <w:rFonts w:ascii="Courier" w:eastAsia="Courier" w:hAnsi="Courier" w:cs="Courier"/>
          <w:shd w:val="clear" w:color="auto" w:fill="F4F6F7"/>
        </w:rPr>
        <w:t xml:space="preserve">Investigator)   </w:t>
      </w:r>
      <w:proofErr w:type="gramEnd"/>
      <w:r>
        <w:rPr>
          <w:rFonts w:ascii="Courier" w:eastAsia="Courier" w:hAnsi="Courier" w:cs="Courier"/>
          <w:shd w:val="clear" w:color="auto" w:fill="F4F6F7"/>
        </w:rPr>
        <w:t xml:space="preserve">   Date</w:t>
      </w:r>
      <w:r>
        <w:rPr>
          <w:rFonts w:ascii="Courier" w:eastAsia="Courier" w:hAnsi="Courier" w:cs="Courier"/>
          <w:shd w:val="clear" w:color="auto" w:fill="F4F6F7"/>
        </w:rPr>
        <w:br/>
      </w:r>
      <w:r>
        <w:rPr>
          <w:rFonts w:ascii="Courier" w:eastAsia="Courier" w:hAnsi="Courier" w:cs="Courier"/>
          <w:shd w:val="clear" w:color="auto" w:fill="F4F6F7"/>
        </w:rPr>
        <w:br/>
        <w:t>________________________________________          __________________</w:t>
      </w:r>
      <w:r>
        <w:rPr>
          <w:rFonts w:ascii="Courier" w:eastAsia="Courier" w:hAnsi="Courier" w:cs="Courier"/>
          <w:shd w:val="clear" w:color="auto" w:fill="F4F6F7"/>
        </w:rPr>
        <w:br/>
        <w:t>IRB Chairperson Signature                         Date</w:t>
      </w:r>
      <w:r>
        <w:rPr>
          <w:rFonts w:ascii="Courier" w:eastAsia="Courier" w:hAnsi="Courier" w:cs="Courier"/>
          <w:shd w:val="clear" w:color="auto" w:fill="F4F6F7"/>
        </w:rPr>
        <w:br/>
      </w:r>
    </w:p>
    <w:p w14:paraId="17CB8CEF" w14:textId="77777777" w:rsidR="00FC18F1" w:rsidRDefault="00000000">
      <w:pPr>
        <w:pStyle w:val="Heading2"/>
      </w:pPr>
      <w:r>
        <w:pict w14:anchorId="70CE4EF3">
          <v:rect id="_x0000_i1049" style="width:0;height:1.5pt" o:hralign="center" o:bullet="t" o:hrstd="t" o:hr="t" fillcolor="#a0a0a0" stroked="f"/>
        </w:pict>
      </w:r>
    </w:p>
    <w:p w14:paraId="0F9D7E5A" w14:textId="77777777" w:rsidR="00FC18F1" w:rsidRDefault="00FC18F1">
      <w:pPr>
        <w:pStyle w:val="Heading2"/>
        <w:rPr>
          <w:sz w:val="30"/>
          <w:szCs w:val="30"/>
        </w:rPr>
      </w:pPr>
    </w:p>
    <w:p w14:paraId="60D7EDFE" w14:textId="77777777" w:rsidR="00FC18F1" w:rsidRDefault="00FC18F1">
      <w:pPr>
        <w:pStyle w:val="Heading2"/>
        <w:rPr>
          <w:sz w:val="30"/>
          <w:szCs w:val="30"/>
        </w:rPr>
      </w:pPr>
    </w:p>
    <w:p w14:paraId="53411086" w14:textId="77777777" w:rsidR="00FC18F1" w:rsidRDefault="00FC18F1">
      <w:pPr>
        <w:pStyle w:val="Heading2"/>
        <w:rPr>
          <w:sz w:val="30"/>
          <w:szCs w:val="30"/>
        </w:rPr>
      </w:pPr>
    </w:p>
    <w:p w14:paraId="31115D53" w14:textId="77777777" w:rsidR="00FC18F1" w:rsidRDefault="00FC18F1">
      <w:pPr>
        <w:pStyle w:val="Heading2"/>
        <w:rPr>
          <w:sz w:val="30"/>
          <w:szCs w:val="30"/>
        </w:rPr>
      </w:pPr>
    </w:p>
    <w:p w14:paraId="6E4FF0C9" w14:textId="77777777" w:rsidR="00FC18F1" w:rsidRDefault="00FC18F1">
      <w:pPr>
        <w:pStyle w:val="Heading2"/>
        <w:rPr>
          <w:sz w:val="30"/>
          <w:szCs w:val="30"/>
        </w:rPr>
      </w:pPr>
    </w:p>
    <w:p w14:paraId="0CF7984E" w14:textId="77777777" w:rsidR="00FC18F1" w:rsidRDefault="00FC18F1">
      <w:pPr>
        <w:pStyle w:val="Heading2"/>
        <w:rPr>
          <w:sz w:val="30"/>
          <w:szCs w:val="30"/>
        </w:rPr>
      </w:pPr>
    </w:p>
    <w:p w14:paraId="74975DE0" w14:textId="77777777" w:rsidR="00FC18F1" w:rsidRDefault="00FC18F1">
      <w:pPr>
        <w:pStyle w:val="Heading2"/>
        <w:rPr>
          <w:sz w:val="30"/>
          <w:szCs w:val="30"/>
        </w:rPr>
      </w:pPr>
    </w:p>
    <w:p w14:paraId="12738D2C" w14:textId="77777777" w:rsidR="00FC18F1" w:rsidRDefault="00FC18F1">
      <w:pPr>
        <w:pStyle w:val="Heading2"/>
        <w:rPr>
          <w:sz w:val="30"/>
          <w:szCs w:val="30"/>
        </w:rPr>
      </w:pPr>
    </w:p>
    <w:p w14:paraId="4FA4D70D" w14:textId="77777777" w:rsidR="00FC18F1" w:rsidRDefault="00FC18F1">
      <w:pPr>
        <w:pStyle w:val="Heading2"/>
        <w:rPr>
          <w:sz w:val="30"/>
          <w:szCs w:val="30"/>
        </w:rPr>
      </w:pPr>
    </w:p>
    <w:p w14:paraId="48D22FE0" w14:textId="77777777" w:rsidR="00FC18F1" w:rsidRDefault="00FC18F1">
      <w:pPr>
        <w:pStyle w:val="Heading2"/>
        <w:rPr>
          <w:sz w:val="30"/>
          <w:szCs w:val="30"/>
        </w:rPr>
      </w:pPr>
    </w:p>
    <w:p w14:paraId="4C5C8C53" w14:textId="77777777" w:rsidR="00FC18F1" w:rsidRDefault="00FC18F1">
      <w:pPr>
        <w:pStyle w:val="Heading2"/>
        <w:rPr>
          <w:sz w:val="30"/>
          <w:szCs w:val="30"/>
        </w:rPr>
      </w:pPr>
    </w:p>
    <w:p w14:paraId="00000021" w14:textId="428390F3" w:rsidR="00B41E84" w:rsidRDefault="00000000">
      <w:pPr>
        <w:pStyle w:val="Heading2"/>
        <w:rPr>
          <w:sz w:val="30"/>
          <w:szCs w:val="30"/>
        </w:rPr>
      </w:pPr>
      <w:r>
        <w:rPr>
          <w:sz w:val="30"/>
          <w:szCs w:val="30"/>
        </w:rPr>
        <w:lastRenderedPageBreak/>
        <w:t>VI. Critical Pharmacokinetic Warnings &amp; Repository Index</w:t>
      </w:r>
    </w:p>
    <w:p w14:paraId="00000022" w14:textId="77777777" w:rsidR="00B41E84" w:rsidRDefault="00000000">
      <w:pPr>
        <w:numPr>
          <w:ilvl w:val="0"/>
          <w:numId w:val="5"/>
        </w:numPr>
        <w:pBdr>
          <w:top w:val="nil"/>
          <w:left w:val="nil"/>
          <w:bottom w:val="nil"/>
          <w:right w:val="nil"/>
          <w:between w:val="nil"/>
        </w:pBdr>
      </w:pPr>
      <w:r>
        <w:rPr>
          <w:b/>
          <w:bCs/>
        </w:rPr>
        <w:t>Renal Load Alert:</w:t>
      </w:r>
      <w:r>
        <w:t xml:space="preserve"> While </w:t>
      </w:r>
      <w:proofErr w:type="spellStart"/>
      <w:r>
        <w:t>KureaSH</w:t>
      </w:r>
      <w:proofErr w:type="spellEnd"/>
      <w:r>
        <w:t>™ utilizes a highly refined private-label manufacturing chain to guarantee absolute chemical purity, high-dose creatine monohydrate introduces an increased baseline turn-over of creatinine. Clinicians must carefully differentiate between standard exogenous creatine clearance and intrinsic pathological renal decline by balancing metrics against 24-hour urinary volume collections.</w:t>
      </w:r>
    </w:p>
    <w:p w14:paraId="00000023" w14:textId="77777777" w:rsidR="00B41E84" w:rsidRDefault="00000000">
      <w:pPr>
        <w:numPr>
          <w:ilvl w:val="0"/>
          <w:numId w:val="5"/>
        </w:numPr>
        <w:pBdr>
          <w:top w:val="nil"/>
          <w:left w:val="nil"/>
          <w:bottom w:val="nil"/>
          <w:right w:val="nil"/>
          <w:between w:val="nil"/>
        </w:pBdr>
      </w:pPr>
      <w:r>
        <w:rPr>
          <w:b/>
          <w:bCs/>
        </w:rPr>
        <w:t>Technical Open-Science Documentation:</w:t>
      </w:r>
      <w:r>
        <w:t xml:space="preserve"> For comprehensive Chemistry, Manufacturing, and Controls (CMC) metrics, operational pipeline logistics, and federal compliance sourcing data under FDA GRAS Notice GRN 931, refer directly to the official technical development repositories:</w:t>
      </w:r>
    </w:p>
    <w:p w14:paraId="00000024" w14:textId="77777777" w:rsidR="00B41E84" w:rsidRDefault="00000000">
      <w:pPr>
        <w:numPr>
          <w:ilvl w:val="1"/>
          <w:numId w:val="6"/>
        </w:numPr>
        <w:pBdr>
          <w:top w:val="nil"/>
          <w:left w:val="nil"/>
          <w:bottom w:val="nil"/>
          <w:right w:val="nil"/>
          <w:between w:val="nil"/>
        </w:pBdr>
      </w:pPr>
      <w:proofErr w:type="spellStart"/>
      <w:r>
        <w:rPr>
          <w:b/>
          <w:bCs/>
        </w:rPr>
        <w:t>KureaSH</w:t>
      </w:r>
      <w:proofErr w:type="spellEnd"/>
      <w:r>
        <w:rPr>
          <w:b/>
          <w:bCs/>
        </w:rPr>
        <w:t>™ 3000mg Bioenergetic Core:</w:t>
      </w:r>
      <w:r>
        <w:t xml:space="preserve"> https://github.com/VirusTC/KureaSH-3000mg</w:t>
      </w:r>
    </w:p>
    <w:p w14:paraId="00000025" w14:textId="77777777" w:rsidR="00B41E84" w:rsidRDefault="00000000">
      <w:pPr>
        <w:numPr>
          <w:ilvl w:val="1"/>
          <w:numId w:val="6"/>
        </w:numPr>
        <w:pBdr>
          <w:top w:val="nil"/>
          <w:left w:val="nil"/>
          <w:bottom w:val="nil"/>
          <w:right w:val="nil"/>
          <w:between w:val="nil"/>
        </w:pBdr>
      </w:pPr>
      <w:proofErr w:type="spellStart"/>
      <w:r>
        <w:rPr>
          <w:b/>
          <w:bCs/>
        </w:rPr>
        <w:t>LimauYM</w:t>
      </w:r>
      <w:proofErr w:type="spellEnd"/>
      <w:r>
        <w:rPr>
          <w:b/>
          <w:bCs/>
        </w:rPr>
        <w:t xml:space="preserve"> 450mg Citric Acid Core:</w:t>
      </w:r>
      <w:r>
        <w:t xml:space="preserve"> https://github.com/VirusTC/LimauYM-450mg</w:t>
      </w:r>
    </w:p>
    <w:p w14:paraId="00000026" w14:textId="77777777" w:rsidR="00B41E84" w:rsidRDefault="00000000">
      <w:pPr>
        <w:numPr>
          <w:ilvl w:val="1"/>
          <w:numId w:val="6"/>
        </w:numPr>
        <w:pBdr>
          <w:top w:val="nil"/>
          <w:left w:val="nil"/>
          <w:bottom w:val="nil"/>
          <w:right w:val="nil"/>
          <w:between w:val="nil"/>
        </w:pBdr>
      </w:pPr>
      <w:proofErr w:type="spellStart"/>
      <w:r>
        <w:rPr>
          <w:b/>
          <w:bCs/>
        </w:rPr>
        <w:t>Nimbu</w:t>
      </w:r>
      <w:proofErr w:type="spellEnd"/>
      <w:r>
        <w:rPr>
          <w:b/>
          <w:bCs/>
        </w:rPr>
        <w:t>-RX 850mg Citric Acid Core:</w:t>
      </w:r>
      <w:r>
        <w:t xml:space="preserve"> https://github.com/VirusTC/Nimbu-RX-850mg</w:t>
      </w:r>
    </w:p>
    <w:p w14:paraId="00000027" w14:textId="4D6CFB19" w:rsidR="00FC18F1" w:rsidRDefault="00000000" w:rsidP="00FC18F1">
      <w:pPr>
        <w:pBdr>
          <w:top w:val="nil"/>
          <w:left w:val="nil"/>
          <w:bottom w:val="nil"/>
          <w:right w:val="nil"/>
          <w:between w:val="nil"/>
        </w:pBdr>
        <w:spacing w:before="240" w:after="240"/>
      </w:pPr>
      <w:r>
        <w:pict w14:anchorId="58C052B6">
          <v:rect id="_x0000_i1031" style="width:0;height:1.5pt" o:hralign="center" o:hrstd="t" o:hr="t" fillcolor="#a0a0a0" stroked="f"/>
        </w:pict>
      </w:r>
    </w:p>
    <w:p w14:paraId="0000002A" w14:textId="15802206" w:rsidR="00B41E84" w:rsidRDefault="00B41E84" w:rsidP="00FC18F1">
      <w:pPr>
        <w:pBdr>
          <w:top w:val="nil"/>
          <w:left w:val="nil"/>
          <w:bottom w:val="nil"/>
          <w:right w:val="nil"/>
          <w:between w:val="nil"/>
        </w:pBdr>
      </w:pPr>
    </w:p>
    <w:sectPr w:rsidR="00B41E84" w:rsidSect="00FC18F1">
      <w:footerReference w:type="even" r:id="rId7"/>
      <w:footerReference w:type="default" r:id="rId8"/>
      <w:footerReference w:type="first" r:id="rId9"/>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5749F" w14:textId="77777777" w:rsidR="009A6E01" w:rsidRDefault="009A6E01" w:rsidP="00FC18F1">
      <w:r>
        <w:separator/>
      </w:r>
    </w:p>
  </w:endnote>
  <w:endnote w:type="continuationSeparator" w:id="0">
    <w:p w14:paraId="4BCD29C0" w14:textId="77777777" w:rsidR="009A6E01" w:rsidRDefault="009A6E01" w:rsidP="00FC1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0D8D2AD-E03A-41D6-8002-98B001E0EEEF}"/>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DABA2BEE-B439-4B80-A56E-FE88710512FF}"/>
  </w:font>
  <w:font w:name="Cambria">
    <w:panose1 w:val="02040503050406030204"/>
    <w:charset w:val="00"/>
    <w:family w:val="roman"/>
    <w:pitch w:val="variable"/>
    <w:sig w:usb0="E00006FF" w:usb1="420024FF" w:usb2="02000000" w:usb3="00000000" w:csb0="0000019F" w:csb1="00000000"/>
    <w:embedRegular r:id="rId3" w:fontKey="{E4EB2EF0-A662-4748-9D2E-1418384389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A0E9" w14:textId="2EBB14A4" w:rsidR="00FC18F1" w:rsidRDefault="00FC18F1" w:rsidP="00FC18F1">
    <w:pPr>
      <w:pStyle w:val="Footer"/>
      <w:jc w:val="center"/>
    </w:pPr>
    <w:hyperlink r:id="rId1" w:history="1">
      <w:r w:rsidRPr="00FC18F1">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1A7A" w14:textId="383D94A3" w:rsidR="00FC18F1" w:rsidRDefault="00FC18F1" w:rsidP="00FC18F1">
    <w:pPr>
      <w:pStyle w:val="Footer"/>
      <w:jc w:val="center"/>
    </w:pPr>
    <w:hyperlink r:id="rId1" w:history="1">
      <w:r w:rsidRPr="00BD5127">
        <w:rPr>
          <w:rStyle w:val="Hyperlink"/>
        </w:rPr>
        <w:t>https://www.foxrothschild.com/pharma-biotech</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BBE2" w14:textId="326D435D" w:rsidR="00FC18F1" w:rsidRDefault="00FC18F1" w:rsidP="00FC18F1">
    <w:pPr>
      <w:pStyle w:val="Footer"/>
      <w:jc w:val="center"/>
    </w:pPr>
    <w:hyperlink r:id="rId1" w:history="1">
      <w:r w:rsidRPr="00FC18F1">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9AD1E" w14:textId="77777777" w:rsidR="009A6E01" w:rsidRDefault="009A6E01" w:rsidP="00FC18F1">
      <w:r>
        <w:separator/>
      </w:r>
    </w:p>
  </w:footnote>
  <w:footnote w:type="continuationSeparator" w:id="0">
    <w:p w14:paraId="6980E1D0" w14:textId="77777777" w:rsidR="009A6E01" w:rsidRDefault="009A6E01" w:rsidP="00FC18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numPicBullet w:numPicBulletId="5">
    <w:pict>
      <v:rect id="_x0000_i1030" style="width:0;height:1.5pt" o:hralign="center" o:bullet="t" o:hrstd="t" o:hr="t" fillcolor="#a0a0a0" stroked="f"/>
    </w:pict>
  </w:numPicBullet>
  <w:abstractNum w:abstractNumId="0" w15:restartNumberingAfterBreak="0">
    <w:nsid w:val="02565E8A"/>
    <w:multiLevelType w:val="multilevel"/>
    <w:tmpl w:val="55E48B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F177275"/>
    <w:multiLevelType w:val="multilevel"/>
    <w:tmpl w:val="7592CD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F32EC1"/>
    <w:multiLevelType w:val="multilevel"/>
    <w:tmpl w:val="D234CC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8542555"/>
    <w:multiLevelType w:val="multilevel"/>
    <w:tmpl w:val="B3F2FB7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0C730F3"/>
    <w:multiLevelType w:val="multilevel"/>
    <w:tmpl w:val="3A46E7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3E40667"/>
    <w:multiLevelType w:val="multilevel"/>
    <w:tmpl w:val="AD18DF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6FD0070"/>
    <w:multiLevelType w:val="multilevel"/>
    <w:tmpl w:val="E8D85AF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1103372">
    <w:abstractNumId w:val="6"/>
  </w:num>
  <w:num w:numId="2" w16cid:durableId="832139748">
    <w:abstractNumId w:val="2"/>
  </w:num>
  <w:num w:numId="3" w16cid:durableId="1619214911">
    <w:abstractNumId w:val="0"/>
  </w:num>
  <w:num w:numId="4" w16cid:durableId="12852953">
    <w:abstractNumId w:val="3"/>
  </w:num>
  <w:num w:numId="5" w16cid:durableId="1400008977">
    <w:abstractNumId w:val="1"/>
  </w:num>
  <w:num w:numId="6" w16cid:durableId="1383794543">
    <w:abstractNumId w:val="4"/>
  </w:num>
  <w:num w:numId="7" w16cid:durableId="4664317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E84"/>
    <w:rsid w:val="009A6E01"/>
    <w:rsid w:val="00B41E84"/>
    <w:rsid w:val="00DC2BAF"/>
    <w:rsid w:val="00FC1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BDE9B"/>
  <w15:docId w15:val="{6A12F885-6175-4456-B680-6F0C5846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FC18F1"/>
    <w:pPr>
      <w:tabs>
        <w:tab w:val="center" w:pos="4680"/>
        <w:tab w:val="right" w:pos="9360"/>
      </w:tabs>
    </w:pPr>
  </w:style>
  <w:style w:type="character" w:customStyle="1" w:styleId="HeaderChar">
    <w:name w:val="Header Char"/>
    <w:basedOn w:val="DefaultParagraphFont"/>
    <w:link w:val="Header"/>
    <w:uiPriority w:val="99"/>
    <w:rsid w:val="00FC18F1"/>
  </w:style>
  <w:style w:type="paragraph" w:styleId="Footer">
    <w:name w:val="footer"/>
    <w:basedOn w:val="Normal"/>
    <w:link w:val="FooterChar"/>
    <w:uiPriority w:val="99"/>
    <w:unhideWhenUsed/>
    <w:rsid w:val="00FC18F1"/>
    <w:pPr>
      <w:tabs>
        <w:tab w:val="center" w:pos="4680"/>
        <w:tab w:val="right" w:pos="9360"/>
      </w:tabs>
    </w:pPr>
  </w:style>
  <w:style w:type="character" w:customStyle="1" w:styleId="FooterChar">
    <w:name w:val="Footer Char"/>
    <w:basedOn w:val="DefaultParagraphFont"/>
    <w:link w:val="Footer"/>
    <w:uiPriority w:val="99"/>
    <w:rsid w:val="00FC18F1"/>
  </w:style>
  <w:style w:type="character" w:styleId="Hyperlink">
    <w:name w:val="Hyperlink"/>
    <w:basedOn w:val="DefaultParagraphFont"/>
    <w:uiPriority w:val="99"/>
    <w:unhideWhenUsed/>
    <w:rsid w:val="00FC18F1"/>
    <w:rPr>
      <w:color w:val="0000FF" w:themeColor="hyperlink"/>
      <w:u w:val="single"/>
    </w:rPr>
  </w:style>
  <w:style w:type="character" w:styleId="UnresolvedMention">
    <w:name w:val="Unresolved Mention"/>
    <w:basedOn w:val="DefaultParagraphFont"/>
    <w:uiPriority w:val="99"/>
    <w:semiHidden/>
    <w:unhideWhenUsed/>
    <w:rsid w:val="00FC1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pharma-biotech"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1182</Words>
  <Characters>8571</Characters>
  <Application>Microsoft Office Word</Application>
  <DocSecurity>0</DocSecurity>
  <Lines>199</Lines>
  <Paragraphs>45</Paragraphs>
  <ScaleCrop>false</ScaleCrop>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Revolutionary Tech</dc:creator>
  <cp:lastModifiedBy>Cory Hofstad</cp:lastModifiedBy>
  <cp:revision>2</cp:revision>
  <dcterms:created xsi:type="dcterms:W3CDTF">2026-07-18T05:55:00Z</dcterms:created>
  <dcterms:modified xsi:type="dcterms:W3CDTF">2026-07-18T05:55:00Z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ef4c9795-224b-4f62-8de0-71561473aa03</vt:lpwstr>
  </property>
</Properties>
</file>