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F315C" w:rsidRDefault="00000000">
      <w:pPr>
        <w:pStyle w:val="Heading2"/>
        <w:spacing w:after="240"/>
        <w:rPr>
          <w:sz w:val="30"/>
          <w:szCs w:val="30"/>
        </w:rPr>
      </w:pPr>
      <w:r>
        <w:rPr>
          <w:sz w:val="30"/>
          <w:szCs w:val="30"/>
        </w:rPr>
        <w:t>Institutional Review Board (IRB) Clinical Protocol</w:t>
      </w:r>
    </w:p>
    <w:p w14:paraId="00000002" w14:textId="77777777" w:rsidR="002F315C" w:rsidRDefault="00000000">
      <w:pPr>
        <w:pBdr>
          <w:top w:val="nil"/>
          <w:left w:val="nil"/>
          <w:bottom w:val="nil"/>
          <w:right w:val="nil"/>
          <w:between w:val="nil"/>
        </w:pBdr>
      </w:pPr>
      <w:r>
        <w:rPr>
          <w:b/>
          <w:bCs/>
        </w:rPr>
        <w:t>Protocol Status:</w:t>
      </w:r>
      <w:r>
        <w:t xml:space="preserve"> Single-Patient Expanded Access (Compassionate Use Framework)</w:t>
      </w:r>
    </w:p>
    <w:p w14:paraId="00000003" w14:textId="77777777" w:rsidR="002F315C" w:rsidRDefault="00000000">
      <w:pPr>
        <w:pBdr>
          <w:top w:val="nil"/>
          <w:left w:val="nil"/>
          <w:bottom w:val="nil"/>
          <w:right w:val="nil"/>
          <w:between w:val="nil"/>
        </w:pBdr>
      </w:pPr>
      <w:r>
        <w:rPr>
          <w:b/>
          <w:bCs/>
        </w:rPr>
        <w:t>Authorized Phase Duration:</w:t>
      </w:r>
      <w:r>
        <w:t xml:space="preserve"> 6 Months (Consecutive)</w:t>
      </w:r>
    </w:p>
    <w:p w14:paraId="00000004" w14:textId="77777777" w:rsidR="002F315C" w:rsidRDefault="00000000">
      <w:pPr>
        <w:pBdr>
          <w:top w:val="nil"/>
          <w:left w:val="nil"/>
          <w:bottom w:val="nil"/>
          <w:right w:val="nil"/>
          <w:between w:val="nil"/>
        </w:pBdr>
      </w:pPr>
      <w:r>
        <w:rPr>
          <w:b/>
          <w:bCs/>
        </w:rPr>
        <w:t>Target Physiological Endpoint:</w:t>
      </w:r>
      <w:r>
        <w:t xml:space="preserve"> Reversal of Nutrient Deficiency &amp; Resolution of Cellular Oxidative Stress</w:t>
      </w:r>
    </w:p>
    <w:p w14:paraId="00000005" w14:textId="77777777" w:rsidR="002F315C" w:rsidRDefault="00000000">
      <w:pPr>
        <w:pBdr>
          <w:top w:val="nil"/>
          <w:left w:val="nil"/>
          <w:bottom w:val="nil"/>
          <w:right w:val="nil"/>
          <w:between w:val="nil"/>
        </w:pBdr>
      </w:pPr>
      <w:r>
        <w:rPr>
          <w:b/>
          <w:bCs/>
        </w:rPr>
        <w:t>Financial Status:</w:t>
      </w:r>
      <w:r>
        <w:t xml:space="preserve"> Voluntary Enrollment; 100% Insurer Funded</w:t>
      </w:r>
    </w:p>
    <w:p w14:paraId="00000006" w14:textId="77777777" w:rsidR="002F315C" w:rsidRDefault="00000000">
      <w:pPr>
        <w:pBdr>
          <w:top w:val="nil"/>
          <w:left w:val="nil"/>
          <w:bottom w:val="nil"/>
          <w:right w:val="nil"/>
          <w:between w:val="nil"/>
        </w:pBdr>
        <w:spacing w:after="240"/>
      </w:pPr>
      <w:r>
        <w:rPr>
          <w:b/>
          <w:bCs/>
        </w:rPr>
        <w:t>FDA Status Reference:</w:t>
      </w:r>
      <w:r>
        <w:t xml:space="preserve"> Mapped under FDA Orphan Drug Designation #298309 Integration Pipeline</w:t>
      </w:r>
    </w:p>
    <w:p w14:paraId="00000007" w14:textId="77777777" w:rsidR="002F315C" w:rsidRDefault="00000000">
      <w:pPr>
        <w:pStyle w:val="Heading2"/>
        <w:spacing w:after="240"/>
      </w:pPr>
      <w:r>
        <w:pict w14:anchorId="1AA3E74E">
          <v:rect id="_x0000_i1025" style="width:0;height:1.5pt" o:hralign="center" o:hrstd="t" o:hr="t" fillcolor="#a0a0a0" stroked="f"/>
        </w:pict>
      </w:r>
    </w:p>
    <w:p w14:paraId="00000008" w14:textId="77777777" w:rsidR="002F315C" w:rsidRDefault="002F315C">
      <w:pPr>
        <w:pStyle w:val="Heading2"/>
        <w:spacing w:after="240"/>
        <w:rPr>
          <w:sz w:val="30"/>
          <w:szCs w:val="30"/>
        </w:rPr>
      </w:pPr>
    </w:p>
    <w:p w14:paraId="00000009" w14:textId="77777777" w:rsidR="002F315C" w:rsidRDefault="002F315C">
      <w:pPr>
        <w:pStyle w:val="Heading2"/>
        <w:spacing w:after="240"/>
        <w:rPr>
          <w:sz w:val="30"/>
          <w:szCs w:val="30"/>
        </w:rPr>
      </w:pPr>
    </w:p>
    <w:p w14:paraId="0000000A" w14:textId="77777777" w:rsidR="002F315C" w:rsidRDefault="002F315C">
      <w:pPr>
        <w:pStyle w:val="Heading2"/>
        <w:spacing w:after="240"/>
        <w:rPr>
          <w:sz w:val="30"/>
          <w:szCs w:val="30"/>
        </w:rPr>
      </w:pPr>
    </w:p>
    <w:p w14:paraId="0000000B" w14:textId="77777777" w:rsidR="002F315C" w:rsidRDefault="002F315C">
      <w:pPr>
        <w:pStyle w:val="Heading2"/>
        <w:spacing w:after="240"/>
        <w:rPr>
          <w:sz w:val="30"/>
          <w:szCs w:val="30"/>
        </w:rPr>
      </w:pPr>
    </w:p>
    <w:p w14:paraId="0000000C" w14:textId="77777777" w:rsidR="002F315C" w:rsidRDefault="002F315C">
      <w:pPr>
        <w:pStyle w:val="Heading2"/>
        <w:spacing w:after="240"/>
        <w:rPr>
          <w:sz w:val="30"/>
          <w:szCs w:val="30"/>
        </w:rPr>
      </w:pPr>
    </w:p>
    <w:p w14:paraId="0000000D" w14:textId="77777777" w:rsidR="002F315C" w:rsidRDefault="002F315C">
      <w:pPr>
        <w:pStyle w:val="Heading2"/>
        <w:spacing w:after="240"/>
        <w:rPr>
          <w:sz w:val="30"/>
          <w:szCs w:val="30"/>
        </w:rPr>
      </w:pPr>
    </w:p>
    <w:p w14:paraId="0000000E" w14:textId="77777777" w:rsidR="002F315C" w:rsidRDefault="002F315C">
      <w:pPr>
        <w:pStyle w:val="Heading2"/>
        <w:spacing w:after="240"/>
        <w:rPr>
          <w:sz w:val="30"/>
          <w:szCs w:val="30"/>
        </w:rPr>
      </w:pPr>
    </w:p>
    <w:p w14:paraId="0000000F" w14:textId="77777777" w:rsidR="002F315C" w:rsidRDefault="002F315C">
      <w:pPr>
        <w:pStyle w:val="Heading2"/>
        <w:spacing w:after="240"/>
        <w:rPr>
          <w:sz w:val="30"/>
          <w:szCs w:val="30"/>
        </w:rPr>
      </w:pPr>
    </w:p>
    <w:p w14:paraId="00000010" w14:textId="77777777" w:rsidR="002F315C" w:rsidRDefault="002F315C">
      <w:pPr>
        <w:pStyle w:val="Heading2"/>
        <w:spacing w:after="240"/>
        <w:rPr>
          <w:sz w:val="30"/>
          <w:szCs w:val="30"/>
        </w:rPr>
      </w:pPr>
    </w:p>
    <w:p w14:paraId="00000011" w14:textId="77777777" w:rsidR="002F315C" w:rsidRDefault="002F315C">
      <w:pPr>
        <w:pStyle w:val="Heading2"/>
        <w:spacing w:after="240"/>
        <w:rPr>
          <w:sz w:val="30"/>
          <w:szCs w:val="30"/>
        </w:rPr>
      </w:pPr>
    </w:p>
    <w:p w14:paraId="00000012" w14:textId="77777777" w:rsidR="002F315C" w:rsidRDefault="002F315C">
      <w:pPr>
        <w:pStyle w:val="Heading2"/>
        <w:spacing w:after="240"/>
        <w:rPr>
          <w:sz w:val="30"/>
          <w:szCs w:val="30"/>
        </w:rPr>
      </w:pPr>
    </w:p>
    <w:p w14:paraId="00000013" w14:textId="77777777" w:rsidR="002F315C" w:rsidRDefault="002F315C">
      <w:pPr>
        <w:pStyle w:val="Heading2"/>
        <w:spacing w:after="240"/>
        <w:rPr>
          <w:sz w:val="30"/>
          <w:szCs w:val="30"/>
        </w:rPr>
      </w:pPr>
    </w:p>
    <w:p w14:paraId="00000014" w14:textId="77777777" w:rsidR="002F315C" w:rsidRDefault="002F315C">
      <w:pPr>
        <w:pStyle w:val="Heading2"/>
        <w:spacing w:after="240"/>
        <w:rPr>
          <w:sz w:val="30"/>
          <w:szCs w:val="30"/>
        </w:rPr>
      </w:pPr>
    </w:p>
    <w:p w14:paraId="00000015" w14:textId="77777777" w:rsidR="002F315C" w:rsidRDefault="002F315C">
      <w:pPr>
        <w:pStyle w:val="Heading2"/>
        <w:spacing w:after="240"/>
        <w:rPr>
          <w:sz w:val="30"/>
          <w:szCs w:val="30"/>
        </w:rPr>
      </w:pPr>
    </w:p>
    <w:p w14:paraId="00000016" w14:textId="77777777" w:rsidR="002F315C" w:rsidRDefault="002F315C">
      <w:pPr>
        <w:pStyle w:val="Heading2"/>
        <w:spacing w:after="240"/>
        <w:rPr>
          <w:sz w:val="30"/>
          <w:szCs w:val="30"/>
        </w:rPr>
      </w:pPr>
    </w:p>
    <w:p w14:paraId="0A5DF0A4" w14:textId="77777777" w:rsidR="00A54C47" w:rsidRPr="00A54C47" w:rsidRDefault="00A54C47" w:rsidP="00A54C47"/>
    <w:p w14:paraId="00000017" w14:textId="77777777" w:rsidR="002F315C" w:rsidRDefault="00000000">
      <w:pPr>
        <w:pStyle w:val="Heading2"/>
        <w:spacing w:after="240"/>
        <w:rPr>
          <w:sz w:val="30"/>
          <w:szCs w:val="30"/>
        </w:rPr>
      </w:pPr>
      <w:r>
        <w:rPr>
          <w:sz w:val="30"/>
          <w:szCs w:val="30"/>
        </w:rPr>
        <w:lastRenderedPageBreak/>
        <w:t>I. Rationale &amp; Synergistic Mechanisms</w:t>
      </w:r>
    </w:p>
    <w:p w14:paraId="00000018" w14:textId="77777777" w:rsidR="002F315C" w:rsidRDefault="00000000">
      <w:pPr>
        <w:pBdr>
          <w:top w:val="nil"/>
          <w:left w:val="nil"/>
          <w:bottom w:val="nil"/>
          <w:right w:val="nil"/>
          <w:between w:val="nil"/>
        </w:pBdr>
        <w:spacing w:after="240"/>
      </w:pPr>
      <w:r>
        <w:t>This clinical protocol establishes a managed, 6-month single-patient expanded access framework utilizing an unadulterated, plant-derived molecular approach to address profound systemic nutrient deficiencies, resolve tissue bioenergetic depletion, and protect cellular integrity from chronic secondary metabolic degradation.</w:t>
      </w:r>
    </w:p>
    <w:p w14:paraId="00000019" w14:textId="77777777" w:rsidR="002F315C" w:rsidRDefault="002F315C">
      <w:pPr>
        <w:pBdr>
          <w:top w:val="nil"/>
          <w:left w:val="nil"/>
          <w:bottom w:val="nil"/>
          <w:right w:val="nil"/>
          <w:between w:val="nil"/>
        </w:pBdr>
        <w:spacing w:before="240" w:after="240"/>
        <w:ind w:left="240" w:right="240"/>
      </w:pPr>
    </w:p>
    <w:p w14:paraId="0000001A" w14:textId="77777777" w:rsidR="002F315C" w:rsidRDefault="00000000">
      <w:pPr>
        <w:pBdr>
          <w:top w:val="nil"/>
          <w:left w:val="nil"/>
          <w:bottom w:val="nil"/>
          <w:right w:val="nil"/>
          <w:between w:val="nil"/>
        </w:pBdr>
        <w:ind w:left="240" w:right="240"/>
        <w:rPr>
          <w:rFonts w:ascii="Courier" w:eastAsia="Courier" w:hAnsi="Courier" w:cs="Courier"/>
          <w:shd w:val="clear" w:color="auto" w:fill="F4F6F7"/>
        </w:rPr>
      </w:pPr>
      <w:r>
        <w:rPr>
          <w:rFonts w:ascii="Courier" w:eastAsia="Courier" w:hAnsi="Courier" w:cs="Courier"/>
          <w:shd w:val="clear" w:color="auto" w:fill="F4F6F7"/>
        </w:rPr>
        <w:t xml:space="preserve">                      [ Initial Patient Evaluation ]</w:t>
      </w:r>
      <w:r>
        <w:rPr>
          <w:rFonts w:ascii="Courier" w:eastAsia="Courier" w:hAnsi="Courier" w:cs="Courier"/>
          <w:shd w:val="clear" w:color="auto" w:fill="F4F6F7"/>
        </w:rPr>
        <w:br/>
        <w:t xml:space="preserve">                       (Severe Clinical Depletion)</w:t>
      </w:r>
      <w:r>
        <w:rPr>
          <w:rFonts w:ascii="Courier" w:eastAsia="Courier" w:hAnsi="Courier" w:cs="Courier"/>
          <w:shd w:val="clear" w:color="auto" w:fill="F4F6F7"/>
        </w:rPr>
        <w:br/>
        <w:t xml:space="preserve">                                    |</w:t>
      </w:r>
      <w:r>
        <w:rPr>
          <w:rFonts w:ascii="Courier" w:eastAsia="Courier" w:hAnsi="Courier" w:cs="Courier"/>
          <w:shd w:val="clear" w:color="auto" w:fill="F4F6F7"/>
        </w:rPr>
        <w:br/>
        <w:t xml:space="preserve">         +--------------------------+--------------------------+</w:t>
      </w:r>
      <w:r>
        <w:rPr>
          <w:rFonts w:ascii="Courier" w:eastAsia="Courier" w:hAnsi="Courier" w:cs="Courier"/>
          <w:shd w:val="clear" w:color="auto" w:fill="F4F6F7"/>
        </w:rPr>
        <w:br/>
      </w:r>
      <w:r>
        <w:rPr>
          <w:rFonts w:ascii="Courier" w:eastAsia="Courier" w:hAnsi="Courier" w:cs="Courier"/>
          <w:shd w:val="clear" w:color="auto" w:fill="F4F6F7"/>
        </w:rPr>
        <w:br/>
        <w:t xml:space="preserve">         |                                                     |</w:t>
      </w:r>
      <w:r>
        <w:rPr>
          <w:rFonts w:ascii="Courier" w:eastAsia="Courier" w:hAnsi="Courier" w:cs="Courier"/>
          <w:shd w:val="clear" w:color="auto" w:fill="F4F6F7"/>
        </w:rPr>
        <w:br/>
        <w:t xml:space="preserve">         v                                                     </w:t>
      </w:r>
      <w:proofErr w:type="spellStart"/>
      <w:r>
        <w:rPr>
          <w:rFonts w:ascii="Courier" w:eastAsia="Courier" w:hAnsi="Courier" w:cs="Courier"/>
          <w:shd w:val="clear" w:color="auto" w:fill="F4F6F7"/>
        </w:rPr>
        <w:t>v</w:t>
      </w:r>
      <w:proofErr w:type="spellEnd"/>
      <w:r>
        <w:rPr>
          <w:rFonts w:ascii="Courier" w:eastAsia="Courier" w:hAnsi="Courier" w:cs="Courier"/>
          <w:shd w:val="clear" w:color="auto" w:fill="F4F6F7"/>
        </w:rPr>
        <w:br/>
        <w:t>[ Primary Deficiency Pathway ]                       [ Bioenergetic Cellular Support ]</w:t>
      </w:r>
      <w:r>
        <w:rPr>
          <w:rFonts w:ascii="Courier" w:eastAsia="Courier" w:hAnsi="Courier" w:cs="Courier"/>
          <w:shd w:val="clear" w:color="auto" w:fill="F4F6F7"/>
        </w:rPr>
        <w:br/>
        <w:t>(Selected Plant-Derived Active Core)                 (</w:t>
      </w:r>
      <w:proofErr w:type="spellStart"/>
      <w:r>
        <w:rPr>
          <w:rFonts w:ascii="Courier" w:eastAsia="Courier" w:hAnsi="Courier" w:cs="Courier"/>
          <w:shd w:val="clear" w:color="auto" w:fill="F4F6F7"/>
        </w:rPr>
        <w:t>KureaSH</w:t>
      </w:r>
      <w:proofErr w:type="spellEnd"/>
      <w:r>
        <w:rPr>
          <w:rFonts w:ascii="Courier" w:eastAsia="Courier" w:hAnsi="Courier" w:cs="Courier"/>
          <w:shd w:val="clear" w:color="auto" w:fill="F4F6F7"/>
        </w:rPr>
        <w:t>™ 3000mg Orphan Matrix)</w:t>
      </w:r>
      <w:r>
        <w:rPr>
          <w:rFonts w:ascii="Courier" w:eastAsia="Courier" w:hAnsi="Courier" w:cs="Courier"/>
          <w:shd w:val="clear" w:color="auto" w:fill="F4F6F7"/>
        </w:rPr>
        <w:br/>
      </w:r>
      <w:r>
        <w:rPr>
          <w:rFonts w:ascii="Courier" w:eastAsia="Courier" w:hAnsi="Courier" w:cs="Courier"/>
          <w:shd w:val="clear" w:color="auto" w:fill="F4F6F7"/>
        </w:rPr>
        <w:br/>
        <w:t xml:space="preserve">         |                                                     |</w:t>
      </w:r>
      <w:r>
        <w:rPr>
          <w:rFonts w:ascii="Courier" w:eastAsia="Courier" w:hAnsi="Courier" w:cs="Courier"/>
          <w:shd w:val="clear" w:color="auto" w:fill="F4F6F7"/>
        </w:rPr>
        <w:br/>
        <w:t xml:space="preserve">         +--------------------------+--------------------------+</w:t>
      </w:r>
      <w:r>
        <w:rPr>
          <w:rFonts w:ascii="Courier" w:eastAsia="Courier" w:hAnsi="Courier" w:cs="Courier"/>
          <w:shd w:val="clear" w:color="auto" w:fill="F4F6F7"/>
        </w:rPr>
        <w:br/>
        <w:t xml:space="preserve">                                    |</w:t>
      </w:r>
      <w:r>
        <w:rPr>
          <w:rFonts w:ascii="Courier" w:eastAsia="Courier" w:hAnsi="Courier" w:cs="Courier"/>
          <w:shd w:val="clear" w:color="auto" w:fill="F4F6F7"/>
        </w:rPr>
        <w:br/>
        <w:t xml:space="preserve">                                    v</w:t>
      </w:r>
      <w:r>
        <w:rPr>
          <w:rFonts w:ascii="Courier" w:eastAsia="Courier" w:hAnsi="Courier" w:cs="Courier"/>
          <w:shd w:val="clear" w:color="auto" w:fill="F4F6F7"/>
        </w:rPr>
        <w:br/>
        <w:t xml:space="preserve">                     [ 6-Month Monitored Lifecycle ]</w:t>
      </w:r>
      <w:r>
        <w:rPr>
          <w:rFonts w:ascii="Courier" w:eastAsia="Courier" w:hAnsi="Courier" w:cs="Courier"/>
          <w:shd w:val="clear" w:color="auto" w:fill="F4F6F7"/>
        </w:rPr>
        <w:br/>
        <w:t xml:space="preserve">             (Restored Cellular Homeostasis &amp; Lipid Control)</w:t>
      </w:r>
      <w:r>
        <w:rPr>
          <w:rFonts w:ascii="Courier" w:eastAsia="Courier" w:hAnsi="Courier" w:cs="Courier"/>
          <w:shd w:val="clear" w:color="auto" w:fill="F4F6F7"/>
        </w:rPr>
        <w:br/>
      </w:r>
    </w:p>
    <w:p w14:paraId="0000001B" w14:textId="77777777" w:rsidR="002F315C" w:rsidRDefault="00000000">
      <w:pPr>
        <w:numPr>
          <w:ilvl w:val="0"/>
          <w:numId w:val="1"/>
        </w:numPr>
        <w:pBdr>
          <w:top w:val="nil"/>
          <w:left w:val="nil"/>
          <w:bottom w:val="nil"/>
          <w:right w:val="nil"/>
          <w:between w:val="nil"/>
        </w:pBdr>
      </w:pPr>
      <w:r>
        <w:rPr>
          <w:b/>
          <w:bCs/>
        </w:rPr>
        <w:t>Targeted Deficiency Reversal:</w:t>
      </w:r>
      <w:r>
        <w:t xml:space="preserve"> Patients suffering from advanced metabolic depletion, cachexia, or gastrointestinal malabsorption often display profound systemic nutrient deficits. Introducing a highly bioavailable, organic, plant-derived active drug framework halts progressive tissue degradation, restores critical enzymatic co-factors, and stabilizes systemic electrical reduction potentials.</w:t>
      </w:r>
    </w:p>
    <w:p w14:paraId="0000001C" w14:textId="77777777" w:rsidR="002F315C" w:rsidRDefault="00000000">
      <w:pPr>
        <w:numPr>
          <w:ilvl w:val="0"/>
          <w:numId w:val="1"/>
        </w:numPr>
        <w:pBdr>
          <w:top w:val="nil"/>
          <w:left w:val="nil"/>
          <w:bottom w:val="nil"/>
          <w:right w:val="nil"/>
          <w:between w:val="nil"/>
        </w:pBdr>
      </w:pPr>
      <w:r>
        <w:rPr>
          <w:b/>
          <w:bCs/>
        </w:rPr>
        <w:t xml:space="preserve">Bioenergetic Tissue Stabilization via </w:t>
      </w:r>
      <w:proofErr w:type="spellStart"/>
      <w:r>
        <w:rPr>
          <w:b/>
          <w:bCs/>
        </w:rPr>
        <w:t>KureaSH</w:t>
      </w:r>
      <w:proofErr w:type="spellEnd"/>
      <w:r>
        <w:rPr>
          <w:b/>
          <w:bCs/>
        </w:rPr>
        <w:t>™ 3000mg:</w:t>
      </w:r>
      <w:r>
        <w:t xml:space="preserve"> </w:t>
      </w:r>
      <w:proofErr w:type="spellStart"/>
      <w:r>
        <w:rPr>
          <w:b/>
          <w:bCs/>
        </w:rPr>
        <w:t>KureaSH</w:t>
      </w:r>
      <w:proofErr w:type="spellEnd"/>
      <w:r>
        <w:rPr>
          <w:b/>
          <w:bCs/>
        </w:rPr>
        <w:t>™ 3000mg</w:t>
      </w:r>
      <w:r>
        <w:t xml:space="preserve"> provides a proprietary, high-purity, plant-derived creatine monohydrate formulation designed for integration into advanced oncology and pathology research networks. Depleted, inflamed, and malignant tissues experience rapid adenosine triphosphate (ATP) depletion, precipitating cellular breakdown. </w:t>
      </w:r>
      <w:proofErr w:type="spellStart"/>
      <w:r>
        <w:t>KureaSH</w:t>
      </w:r>
      <w:proofErr w:type="spellEnd"/>
      <w:r>
        <w:t>™ enters the target tissue via specific creatine transporters, donating its phosphate group to rapidly recharge adenosine diphosphate (ADP) back into active ATP. This re-energization stabilizes phospholipid bilayers, reduces local inflammatory cytokine cascades, and guards cell structure under aggressive deficiency states.</w:t>
      </w:r>
    </w:p>
    <w:p w14:paraId="0000001D" w14:textId="77777777" w:rsidR="002F315C" w:rsidRDefault="00000000">
      <w:pPr>
        <w:numPr>
          <w:ilvl w:val="0"/>
          <w:numId w:val="1"/>
        </w:numPr>
        <w:pBdr>
          <w:top w:val="nil"/>
          <w:left w:val="nil"/>
          <w:bottom w:val="nil"/>
          <w:right w:val="nil"/>
          <w:between w:val="nil"/>
        </w:pBdr>
      </w:pPr>
      <w:r>
        <w:rPr>
          <w:b/>
          <w:bCs/>
        </w:rPr>
        <w:t>The Plant-Derived Sparing Framework:</w:t>
      </w:r>
      <w:r>
        <w:t xml:space="preserve"> By relying exclusively on 100% organic, plant-derived molecular ecosystems, this framework eliminates the risks of residual processing contaminants, mold fractions, or manufacturing impurities. The native plant-based matrices ensure a gentle, sustained metabolic assimilation profile that actively avoids the sharp gastrointestinal mucosa irritation or erratic plasma spikes typical of </w:t>
      </w:r>
      <w:proofErr w:type="gramStart"/>
      <w:r>
        <w:t>stripped</w:t>
      </w:r>
      <w:proofErr w:type="gramEnd"/>
      <w:r>
        <w:t xml:space="preserve"> chemical isolates.</w:t>
      </w:r>
    </w:p>
    <w:p w14:paraId="0000001E" w14:textId="77777777" w:rsidR="002F315C" w:rsidRDefault="00000000">
      <w:pPr>
        <w:pStyle w:val="Heading2"/>
        <w:spacing w:after="240"/>
      </w:pPr>
      <w:r>
        <w:pict w14:anchorId="2F75AB56">
          <v:rect id="_x0000_i1026" style="width:0;height:1.5pt" o:hralign="center" o:hrstd="t" o:hr="t" fillcolor="#a0a0a0" stroked="f"/>
        </w:pict>
      </w:r>
    </w:p>
    <w:p w14:paraId="00000033" w14:textId="77777777" w:rsidR="002F315C" w:rsidRDefault="00000000">
      <w:pPr>
        <w:pStyle w:val="Heading2"/>
        <w:spacing w:after="240"/>
        <w:rPr>
          <w:sz w:val="30"/>
          <w:szCs w:val="30"/>
        </w:rPr>
      </w:pPr>
      <w:r>
        <w:rPr>
          <w:sz w:val="30"/>
          <w:szCs w:val="30"/>
        </w:rPr>
        <w:lastRenderedPageBreak/>
        <w:t>II. Mandatory Primary Deficiency Pathway Selection</w:t>
      </w:r>
    </w:p>
    <w:p w14:paraId="00000034" w14:textId="77777777" w:rsidR="002F315C" w:rsidRDefault="00000000">
      <w:pPr>
        <w:pBdr>
          <w:top w:val="nil"/>
          <w:left w:val="nil"/>
          <w:bottom w:val="nil"/>
          <w:right w:val="nil"/>
          <w:between w:val="nil"/>
        </w:pBdr>
        <w:spacing w:after="240"/>
      </w:pPr>
      <w:r>
        <w:t>The managing clinician must select and verify the specific organic, plant-derived USP-grade active therapeutic framework to serve as the core deficiency pathway for this 6-month protocol:</w:t>
      </w:r>
    </w:p>
    <w:p w14:paraId="00000035" w14:textId="77777777" w:rsidR="002F315C" w:rsidRDefault="00000000">
      <w:pPr>
        <w:numPr>
          <w:ilvl w:val="0"/>
          <w:numId w:val="2"/>
        </w:numPr>
        <w:pBdr>
          <w:top w:val="nil"/>
          <w:left w:val="nil"/>
          <w:bottom w:val="nil"/>
          <w:right w:val="nil"/>
          <w:between w:val="nil"/>
        </w:pBdr>
      </w:pPr>
      <w:proofErr w:type="spellStart"/>
      <w:r>
        <w:rPr>
          <w:b/>
          <w:bCs/>
        </w:rPr>
        <w:t>AlnayaSN</w:t>
      </w:r>
      <w:proofErr w:type="spellEnd"/>
      <w:r>
        <w:rPr>
          <w:b/>
          <w:bCs/>
        </w:rPr>
        <w:t>™ (Organic Nicotinic Acid / Niacin 500mg):</w:t>
      </w:r>
      <w:r>
        <w:rPr>
          <w:color w:val="000000"/>
        </w:rPr>
        <w:br/>
      </w:r>
      <w:r>
        <w:t>A 100% organic, plant-derived formulation delivering a standardized nicotinic acid matrix. Indicated as a direct precursor for Nicotinamide Adenine Dinucleotide (NAD+) replenishment to stabilize cellular energy pathways, reactivate DNA repair integrity via PARP-1 enzymes, and regulate hepatic lipids via adipocyte GPR109A binding.</w:t>
      </w:r>
    </w:p>
    <w:p w14:paraId="00000036" w14:textId="77777777" w:rsidR="002F315C" w:rsidRDefault="00000000">
      <w:pPr>
        <w:numPr>
          <w:ilvl w:val="0"/>
          <w:numId w:val="2"/>
        </w:numPr>
        <w:pBdr>
          <w:top w:val="nil"/>
          <w:left w:val="nil"/>
          <w:bottom w:val="nil"/>
          <w:right w:val="nil"/>
          <w:between w:val="nil"/>
        </w:pBdr>
      </w:pPr>
      <w:proofErr w:type="spellStart"/>
      <w:r>
        <w:rPr>
          <w:b/>
          <w:bCs/>
        </w:rPr>
        <w:t>TsinKX</w:t>
      </w:r>
      <w:proofErr w:type="spellEnd"/>
      <w:r>
        <w:rPr>
          <w:b/>
          <w:bCs/>
        </w:rPr>
        <w:t xml:space="preserve"> (Organic </w:t>
      </w:r>
      <w:proofErr w:type="spellStart"/>
      <w:r>
        <w:rPr>
          <w:b/>
          <w:bCs/>
        </w:rPr>
        <w:t>Zincum</w:t>
      </w:r>
      <w:proofErr w:type="spellEnd"/>
      <w:r>
        <w:rPr>
          <w:b/>
          <w:bCs/>
        </w:rPr>
        <w:t xml:space="preserve"> Gluconate 100mg):</w:t>
      </w:r>
      <w:r>
        <w:rPr>
          <w:color w:val="000000"/>
        </w:rPr>
        <w:br/>
      </w:r>
      <w:r>
        <w:t xml:space="preserve">A 100% organic, plant-derived USP-grade </w:t>
      </w:r>
      <w:proofErr w:type="spellStart"/>
      <w:r>
        <w:t>zincum</w:t>
      </w:r>
      <w:proofErr w:type="spellEnd"/>
      <w:r>
        <w:t xml:space="preserve"> gluconate formulation. Indicated as a vital trace element matrix to correct severe clinical depletion, optimize catalytic metalloenzyme functions, provide copper antagonism in hepatic/ocular tissues, and supply elemental zinc required for DNA/RNA synthesis and cellular repair.</w:t>
      </w:r>
    </w:p>
    <w:p w14:paraId="00000037" w14:textId="77777777" w:rsidR="002F315C" w:rsidRDefault="00000000">
      <w:pPr>
        <w:pStyle w:val="Heading2"/>
      </w:pPr>
      <w:r>
        <w:pict w14:anchorId="7CC40538">
          <v:rect id="_x0000_i1027" style="width:0;height:1.5pt" o:hralign="center" o:hrstd="t" o:hr="t" fillcolor="#a0a0a0" stroked="f"/>
        </w:pict>
      </w:r>
    </w:p>
    <w:p w14:paraId="00000038" w14:textId="77777777" w:rsidR="002F315C" w:rsidRDefault="002F315C">
      <w:pPr>
        <w:pStyle w:val="Heading2"/>
        <w:rPr>
          <w:sz w:val="30"/>
          <w:szCs w:val="30"/>
        </w:rPr>
      </w:pPr>
    </w:p>
    <w:p w14:paraId="00000039" w14:textId="77777777" w:rsidR="002F315C" w:rsidRDefault="002F315C">
      <w:pPr>
        <w:pStyle w:val="Heading2"/>
        <w:rPr>
          <w:sz w:val="30"/>
          <w:szCs w:val="30"/>
        </w:rPr>
      </w:pPr>
    </w:p>
    <w:p w14:paraId="0000003A" w14:textId="77777777" w:rsidR="002F315C" w:rsidRDefault="002F315C">
      <w:pPr>
        <w:pStyle w:val="Heading2"/>
        <w:rPr>
          <w:sz w:val="30"/>
          <w:szCs w:val="30"/>
        </w:rPr>
      </w:pPr>
    </w:p>
    <w:p w14:paraId="0000003B" w14:textId="77777777" w:rsidR="002F315C" w:rsidRDefault="002F315C">
      <w:pPr>
        <w:pStyle w:val="Heading2"/>
        <w:rPr>
          <w:sz w:val="30"/>
          <w:szCs w:val="30"/>
        </w:rPr>
      </w:pPr>
    </w:p>
    <w:p w14:paraId="0000003C" w14:textId="77777777" w:rsidR="002F315C" w:rsidRDefault="002F315C">
      <w:pPr>
        <w:pStyle w:val="Heading2"/>
        <w:rPr>
          <w:sz w:val="30"/>
          <w:szCs w:val="30"/>
        </w:rPr>
      </w:pPr>
    </w:p>
    <w:p w14:paraId="0000003D" w14:textId="77777777" w:rsidR="002F315C" w:rsidRDefault="002F315C">
      <w:pPr>
        <w:pStyle w:val="Heading2"/>
        <w:rPr>
          <w:sz w:val="30"/>
          <w:szCs w:val="30"/>
        </w:rPr>
      </w:pPr>
    </w:p>
    <w:p w14:paraId="0000003E" w14:textId="77777777" w:rsidR="002F315C" w:rsidRDefault="002F315C">
      <w:pPr>
        <w:pStyle w:val="Heading2"/>
        <w:rPr>
          <w:sz w:val="30"/>
          <w:szCs w:val="30"/>
        </w:rPr>
      </w:pPr>
    </w:p>
    <w:p w14:paraId="0000003F" w14:textId="77777777" w:rsidR="002F315C" w:rsidRDefault="002F315C">
      <w:pPr>
        <w:pStyle w:val="Heading2"/>
        <w:rPr>
          <w:sz w:val="30"/>
          <w:szCs w:val="30"/>
        </w:rPr>
      </w:pPr>
    </w:p>
    <w:p w14:paraId="00000040" w14:textId="77777777" w:rsidR="002F315C" w:rsidRDefault="002F315C">
      <w:pPr>
        <w:pStyle w:val="Heading2"/>
        <w:rPr>
          <w:sz w:val="30"/>
          <w:szCs w:val="30"/>
        </w:rPr>
      </w:pPr>
    </w:p>
    <w:p w14:paraId="00000041" w14:textId="77777777" w:rsidR="002F315C" w:rsidRDefault="002F315C">
      <w:pPr>
        <w:pStyle w:val="Heading2"/>
        <w:rPr>
          <w:sz w:val="30"/>
          <w:szCs w:val="30"/>
        </w:rPr>
      </w:pPr>
    </w:p>
    <w:p w14:paraId="00000042" w14:textId="77777777" w:rsidR="002F315C" w:rsidRDefault="002F315C">
      <w:pPr>
        <w:pStyle w:val="Heading2"/>
        <w:rPr>
          <w:sz w:val="30"/>
          <w:szCs w:val="30"/>
        </w:rPr>
      </w:pPr>
    </w:p>
    <w:p w14:paraId="00000043" w14:textId="77777777" w:rsidR="002F315C" w:rsidRDefault="002F315C">
      <w:pPr>
        <w:pStyle w:val="Heading2"/>
        <w:rPr>
          <w:sz w:val="30"/>
          <w:szCs w:val="30"/>
        </w:rPr>
      </w:pPr>
    </w:p>
    <w:p w14:paraId="3C1D4E41" w14:textId="77777777" w:rsidR="00A54C47" w:rsidRDefault="00A54C47" w:rsidP="00A54C47"/>
    <w:p w14:paraId="5221E629" w14:textId="77777777" w:rsidR="00A54C47" w:rsidRPr="00A54C47" w:rsidRDefault="00A54C47" w:rsidP="00A54C47"/>
    <w:p w14:paraId="00000044" w14:textId="77777777" w:rsidR="002F315C" w:rsidRDefault="002F315C">
      <w:pPr>
        <w:pStyle w:val="Heading2"/>
        <w:rPr>
          <w:sz w:val="30"/>
          <w:szCs w:val="30"/>
        </w:rPr>
      </w:pPr>
    </w:p>
    <w:p w14:paraId="00000045" w14:textId="77777777" w:rsidR="002F315C" w:rsidRDefault="00000000">
      <w:pPr>
        <w:pStyle w:val="Heading2"/>
        <w:rPr>
          <w:sz w:val="30"/>
          <w:szCs w:val="30"/>
        </w:rPr>
      </w:pPr>
      <w:r>
        <w:rPr>
          <w:sz w:val="30"/>
          <w:szCs w:val="30"/>
        </w:rPr>
        <w:lastRenderedPageBreak/>
        <w:t>III. Standardized Clinical Protocol &amp; Administration</w:t>
      </w:r>
    </w:p>
    <w:p w14:paraId="00000046" w14:textId="77777777" w:rsidR="002F315C" w:rsidRDefault="002F315C">
      <w:pPr>
        <w:pBdr>
          <w:top w:val="nil"/>
          <w:left w:val="nil"/>
          <w:bottom w:val="nil"/>
          <w:right w:val="nil"/>
          <w:between w:val="nil"/>
        </w:pBdr>
        <w:spacing w:before="240" w:after="240"/>
        <w:ind w:left="240" w:right="240"/>
        <w:rPr>
          <w:b/>
          <w:bCs/>
          <w:sz w:val="30"/>
          <w:szCs w:val="30"/>
        </w:rPr>
      </w:pPr>
    </w:p>
    <w:p w14:paraId="00000047" w14:textId="77777777" w:rsidR="002F315C" w:rsidRDefault="00000000">
      <w:pPr>
        <w:pBdr>
          <w:top w:val="nil"/>
          <w:left w:val="nil"/>
          <w:bottom w:val="nil"/>
          <w:right w:val="nil"/>
          <w:between w:val="nil"/>
        </w:pBdr>
        <w:ind w:left="240" w:right="240"/>
        <w:rPr>
          <w:rFonts w:ascii="Courier" w:eastAsia="Courier" w:hAnsi="Courier" w:cs="Courier"/>
          <w:shd w:val="clear" w:color="auto" w:fill="F4F6F7"/>
        </w:rPr>
      </w:pPr>
      <w:r>
        <w:rPr>
          <w:rFonts w:ascii="Courier" w:eastAsia="Courier" w:hAnsi="Courier" w:cs="Courier"/>
          <w:shd w:val="clear" w:color="auto" w:fill="F4F6F7"/>
        </w:rPr>
        <w:t>+==============================+========================+==========================================+</w:t>
      </w:r>
      <w:r>
        <w:rPr>
          <w:rFonts w:ascii="Courier" w:eastAsia="Courier" w:hAnsi="Courier" w:cs="Courier"/>
          <w:shd w:val="clear" w:color="auto" w:fill="F4F6F7"/>
        </w:rPr>
        <w:br/>
      </w:r>
      <w:r>
        <w:rPr>
          <w:rFonts w:ascii="Courier" w:eastAsia="Courier" w:hAnsi="Courier" w:cs="Courier"/>
          <w:shd w:val="clear" w:color="auto" w:fill="F4F6F7"/>
        </w:rPr>
        <w:br/>
        <w:t>| Botanical Matrix Component   | Unit Standardization   | 24-Hour Administration Schedule          |</w:t>
      </w:r>
      <w:r>
        <w:rPr>
          <w:rFonts w:ascii="Courier" w:eastAsia="Courier" w:hAnsi="Courier" w:cs="Courier"/>
          <w:shd w:val="clear" w:color="auto" w:fill="F4F6F7"/>
        </w:rPr>
        <w:br/>
        <w:t>+==============================+========================+==========================================+</w:t>
      </w:r>
      <w:r>
        <w:rPr>
          <w:rFonts w:ascii="Courier" w:eastAsia="Courier" w:hAnsi="Courier" w:cs="Courier"/>
          <w:shd w:val="clear" w:color="auto" w:fill="F4F6F7"/>
        </w:rPr>
        <w:br/>
      </w:r>
      <w:r>
        <w:rPr>
          <w:rFonts w:ascii="Courier" w:eastAsia="Courier" w:hAnsi="Courier" w:cs="Courier"/>
          <w:shd w:val="clear" w:color="auto" w:fill="F4F6F7"/>
        </w:rPr>
        <w:br/>
        <w:t>| Primary Selected Pathway     | Selected Plant-Derived | Titrated per individual clinical need     |</w:t>
      </w:r>
      <w:r>
        <w:rPr>
          <w:rFonts w:ascii="Courier" w:eastAsia="Courier" w:hAnsi="Courier" w:cs="Courier"/>
          <w:shd w:val="clear" w:color="auto" w:fill="F4F6F7"/>
        </w:rPr>
        <w:br/>
        <w:t>| (</w:t>
      </w:r>
      <w:proofErr w:type="spellStart"/>
      <w:r>
        <w:rPr>
          <w:rFonts w:ascii="Courier" w:eastAsia="Courier" w:hAnsi="Courier" w:cs="Courier"/>
          <w:shd w:val="clear" w:color="auto" w:fill="F4F6F7"/>
        </w:rPr>
        <w:t>AlnayaSN</w:t>
      </w:r>
      <w:proofErr w:type="spellEnd"/>
      <w:r>
        <w:rPr>
          <w:rFonts w:ascii="Courier" w:eastAsia="Courier" w:hAnsi="Courier" w:cs="Courier"/>
          <w:shd w:val="clear" w:color="auto" w:fill="F4F6F7"/>
        </w:rPr>
        <w:t xml:space="preserve">™ or </w:t>
      </w:r>
      <w:proofErr w:type="spellStart"/>
      <w:r>
        <w:rPr>
          <w:rFonts w:ascii="Courier" w:eastAsia="Courier" w:hAnsi="Courier" w:cs="Courier"/>
          <w:shd w:val="clear" w:color="auto" w:fill="F4F6F7"/>
        </w:rPr>
        <w:t>TsinKX</w:t>
      </w:r>
      <w:proofErr w:type="spellEnd"/>
      <w:r>
        <w:rPr>
          <w:rFonts w:ascii="Courier" w:eastAsia="Courier" w:hAnsi="Courier" w:cs="Courier"/>
          <w:shd w:val="clear" w:color="auto" w:fill="F4F6F7"/>
        </w:rPr>
        <w:t>)        | USP Drug Core          | (Refer to individual titration curve)    |</w:t>
      </w:r>
      <w:r>
        <w:rPr>
          <w:rFonts w:ascii="Courier" w:eastAsia="Courier" w:hAnsi="Courier" w:cs="Courier"/>
          <w:shd w:val="clear" w:color="auto" w:fill="F4F6F7"/>
        </w:rPr>
        <w:br/>
        <w:t>+------------------------------+------------------------+------------------------------------------+</w:t>
      </w:r>
      <w:r>
        <w:rPr>
          <w:rFonts w:ascii="Courier" w:eastAsia="Courier" w:hAnsi="Courier" w:cs="Courier"/>
          <w:shd w:val="clear" w:color="auto" w:fill="F4F6F7"/>
        </w:rPr>
        <w:br/>
      </w:r>
      <w:r>
        <w:rPr>
          <w:rFonts w:ascii="Courier" w:eastAsia="Courier" w:hAnsi="Courier" w:cs="Courier"/>
          <w:shd w:val="clear" w:color="auto" w:fill="F4F6F7"/>
        </w:rPr>
        <w:br/>
        <w:t xml:space="preserve">| </w:t>
      </w:r>
      <w:proofErr w:type="spellStart"/>
      <w:r>
        <w:rPr>
          <w:rFonts w:ascii="Courier" w:eastAsia="Courier" w:hAnsi="Courier" w:cs="Courier"/>
          <w:shd w:val="clear" w:color="auto" w:fill="F4F6F7"/>
        </w:rPr>
        <w:t>KureaSH</w:t>
      </w:r>
      <w:proofErr w:type="spellEnd"/>
      <w:r>
        <w:rPr>
          <w:rFonts w:ascii="Courier" w:eastAsia="Courier" w:hAnsi="Courier" w:cs="Courier"/>
          <w:shd w:val="clear" w:color="auto" w:fill="F4F6F7"/>
        </w:rPr>
        <w:t>™ (Orphan Creatine)   | 3000 mg Purity Blend   | 1 Unit Dose, 1x Daily (With AM Nutrition)|</w:t>
      </w:r>
      <w:r>
        <w:rPr>
          <w:rFonts w:ascii="Courier" w:eastAsia="Courier" w:hAnsi="Courier" w:cs="Courier"/>
          <w:shd w:val="clear" w:color="auto" w:fill="F4F6F7"/>
        </w:rPr>
        <w:br/>
        <w:t>+==============================+========================+==========================================+</w:t>
      </w:r>
      <w:r>
        <w:rPr>
          <w:rFonts w:ascii="Courier" w:eastAsia="Courier" w:hAnsi="Courier" w:cs="Courier"/>
          <w:shd w:val="clear" w:color="auto" w:fill="F4F6F7"/>
        </w:rPr>
        <w:br/>
      </w:r>
    </w:p>
    <w:p w14:paraId="00000048" w14:textId="77777777" w:rsidR="002F315C" w:rsidRDefault="00000000">
      <w:pPr>
        <w:numPr>
          <w:ilvl w:val="0"/>
          <w:numId w:val="3"/>
        </w:numPr>
        <w:pBdr>
          <w:top w:val="nil"/>
          <w:left w:val="nil"/>
          <w:bottom w:val="nil"/>
          <w:right w:val="nil"/>
          <w:between w:val="nil"/>
        </w:pBdr>
      </w:pPr>
      <w:r>
        <w:rPr>
          <w:b/>
          <w:bCs/>
        </w:rPr>
        <w:t>Administration Matrix:</w:t>
      </w:r>
      <w:r>
        <w:t xml:space="preserve"> Primary organic compounds require precise, protocol-guided titration, with the physical product labels cross-referenced by the pharmacy against internal batch records to verify exact milligram configurations before clinical deployment. The single daily 3000 mg dose of </w:t>
      </w:r>
      <w:proofErr w:type="spellStart"/>
      <w:r>
        <w:t>KureaSH</w:t>
      </w:r>
      <w:proofErr w:type="spellEnd"/>
      <w:r>
        <w:t>™ must be administered concurrently with the morning dose of the primary deficiency framework to unify systemic absorption curves.</w:t>
      </w:r>
    </w:p>
    <w:p w14:paraId="00000049" w14:textId="77777777" w:rsidR="002F315C" w:rsidRDefault="00000000">
      <w:pPr>
        <w:numPr>
          <w:ilvl w:val="0"/>
          <w:numId w:val="3"/>
        </w:numPr>
        <w:pBdr>
          <w:top w:val="nil"/>
          <w:left w:val="nil"/>
          <w:bottom w:val="nil"/>
          <w:right w:val="nil"/>
          <w:between w:val="nil"/>
        </w:pBdr>
      </w:pPr>
      <w:r>
        <w:rPr>
          <w:b/>
          <w:bCs/>
        </w:rPr>
        <w:t>Dental Hydroxyapatite Guard:</w:t>
      </w:r>
      <w:r>
        <w:t xml:space="preserve"> To maintain oral structural health during the ingestion of active organic matrices, the patient must perform a mandatory </w:t>
      </w:r>
      <w:r>
        <w:rPr>
          <w:b/>
          <w:bCs/>
        </w:rPr>
        <w:t>5-minute post-dose water rinse</w:t>
      </w:r>
      <w:r>
        <w:t xml:space="preserve"> after every administration.</w:t>
      </w:r>
    </w:p>
    <w:p w14:paraId="0000004A" w14:textId="77777777" w:rsidR="002F315C" w:rsidRDefault="00000000">
      <w:pPr>
        <w:numPr>
          <w:ilvl w:val="0"/>
          <w:numId w:val="3"/>
        </w:numPr>
        <w:pBdr>
          <w:top w:val="nil"/>
          <w:left w:val="nil"/>
          <w:bottom w:val="nil"/>
          <w:right w:val="nil"/>
          <w:between w:val="nil"/>
        </w:pBdr>
      </w:pPr>
      <w:r>
        <w:rPr>
          <w:b/>
          <w:bCs/>
        </w:rPr>
        <w:t>Oral Mucositis Interruption Alert:</w:t>
      </w:r>
      <w:r>
        <w:t xml:space="preserve"> Clinicians must inspect the oral cavity bi-weekly. If the individual presents with active chemotherapy- or radiation-induced Oral Mucositis tracking at a </w:t>
      </w:r>
      <w:r>
        <w:rPr>
          <w:b/>
          <w:bCs/>
        </w:rPr>
        <w:t>WHO Visual Mucositis Grade $\</w:t>
      </w:r>
      <w:proofErr w:type="spellStart"/>
      <w:r>
        <w:rPr>
          <w:b/>
          <w:bCs/>
        </w:rPr>
        <w:t>geq</w:t>
      </w:r>
      <w:proofErr w:type="spellEnd"/>
      <w:r>
        <w:rPr>
          <w:b/>
          <w:bCs/>
        </w:rPr>
        <w:t xml:space="preserve"> 2$</w:t>
      </w:r>
      <w:r>
        <w:t>, administration of the active pathway must be suspended immediately to protect delicate mucosal tissues.</w:t>
      </w:r>
    </w:p>
    <w:p w14:paraId="0000004B" w14:textId="77777777" w:rsidR="002F315C" w:rsidRDefault="00000000">
      <w:pPr>
        <w:pStyle w:val="Heading2"/>
      </w:pPr>
      <w:r>
        <w:pict w14:anchorId="1655EE92">
          <v:rect id="_x0000_i1028" style="width:0;height:1.5pt" o:hralign="center" o:hrstd="t" o:hr="t" fillcolor="#a0a0a0" stroked="f"/>
        </w:pict>
      </w:r>
    </w:p>
    <w:p w14:paraId="0000004C" w14:textId="77777777" w:rsidR="002F315C" w:rsidRDefault="002F315C">
      <w:pPr>
        <w:pStyle w:val="Heading2"/>
        <w:rPr>
          <w:sz w:val="30"/>
          <w:szCs w:val="30"/>
        </w:rPr>
      </w:pPr>
    </w:p>
    <w:p w14:paraId="0000004D" w14:textId="77777777" w:rsidR="002F315C" w:rsidRDefault="002F315C">
      <w:pPr>
        <w:pStyle w:val="Heading2"/>
        <w:rPr>
          <w:sz w:val="30"/>
          <w:szCs w:val="30"/>
        </w:rPr>
      </w:pPr>
    </w:p>
    <w:p w14:paraId="0000004E" w14:textId="77777777" w:rsidR="002F315C" w:rsidRDefault="002F315C">
      <w:pPr>
        <w:pStyle w:val="Heading2"/>
        <w:rPr>
          <w:sz w:val="30"/>
          <w:szCs w:val="30"/>
        </w:rPr>
      </w:pPr>
    </w:p>
    <w:p w14:paraId="606E171F" w14:textId="77777777" w:rsidR="00A54C47" w:rsidRDefault="00A54C47" w:rsidP="00A54C47"/>
    <w:p w14:paraId="3348BFBC" w14:textId="77777777" w:rsidR="00A54C47" w:rsidRDefault="00A54C47" w:rsidP="00A54C47"/>
    <w:p w14:paraId="07CACEBD" w14:textId="77777777" w:rsidR="00A54C47" w:rsidRPr="00A54C47" w:rsidRDefault="00A54C47" w:rsidP="00A54C47"/>
    <w:p w14:paraId="0000004F" w14:textId="77777777" w:rsidR="002F315C" w:rsidRDefault="00000000">
      <w:pPr>
        <w:pStyle w:val="Heading2"/>
        <w:rPr>
          <w:sz w:val="30"/>
          <w:szCs w:val="30"/>
        </w:rPr>
      </w:pPr>
      <w:r>
        <w:rPr>
          <w:sz w:val="30"/>
          <w:szCs w:val="30"/>
        </w:rPr>
        <w:lastRenderedPageBreak/>
        <w:t>IV. Safety Monitoring &amp; Mandatory Stopping Criteria</w:t>
      </w:r>
    </w:p>
    <w:p w14:paraId="00000050" w14:textId="77777777" w:rsidR="002F315C" w:rsidRDefault="00000000">
      <w:pPr>
        <w:numPr>
          <w:ilvl w:val="0"/>
          <w:numId w:val="4"/>
        </w:numPr>
        <w:pBdr>
          <w:top w:val="nil"/>
          <w:left w:val="nil"/>
          <w:bottom w:val="nil"/>
          <w:right w:val="nil"/>
          <w:between w:val="nil"/>
        </w:pBdr>
      </w:pPr>
      <w:r>
        <w:rPr>
          <w:b/>
          <w:bCs/>
        </w:rPr>
        <w:t>Bi-Weekly Metabolic Panels:</w:t>
      </w:r>
      <w:r>
        <w:t xml:space="preserve"> Serum electrolytes, total renal clearance markers (BUN and Creatinine), and full blood counts must be logged every 14 days during the first 60 days of the protocol to monitor for malabsorption or induced nutritional shifts. In cases of high-dose </w:t>
      </w:r>
      <w:proofErr w:type="spellStart"/>
      <w:r>
        <w:t>AlnayaSN</w:t>
      </w:r>
      <w:proofErr w:type="spellEnd"/>
      <w:r>
        <w:t>™ deployment, look out for potential intestinal mucosa modifications that accelerate bowel motility and lower the coefficient of fat absorption, which presents clinically as oily or lard-like stools (secondary steatorrhea).</w:t>
      </w:r>
    </w:p>
    <w:p w14:paraId="00000051" w14:textId="77777777" w:rsidR="002F315C" w:rsidRDefault="00000000">
      <w:pPr>
        <w:numPr>
          <w:ilvl w:val="0"/>
          <w:numId w:val="4"/>
        </w:numPr>
        <w:pBdr>
          <w:top w:val="nil"/>
          <w:left w:val="nil"/>
          <w:bottom w:val="nil"/>
          <w:right w:val="nil"/>
          <w:between w:val="nil"/>
        </w:pBdr>
      </w:pPr>
      <w:r>
        <w:rPr>
          <w:b/>
          <w:bCs/>
        </w:rPr>
        <w:t>Renal Fluid and Telehealth Gating:</w:t>
      </w:r>
      <w:r>
        <w:t xml:space="preserve"> Regular monitoring of serum zinc, urinary copper excretion, and complete blood counts (CBC) is required during long-term maintenance therapy to avoid secondary deficiencies. Ensure that patient hydration is maintained to balance the osmotic fluid requirements of high-dose creatine monohydrate alongside the primary titration curve.</w:t>
      </w:r>
    </w:p>
    <w:p w14:paraId="00000052" w14:textId="77777777" w:rsidR="002F315C" w:rsidRDefault="00000000">
      <w:pPr>
        <w:numPr>
          <w:ilvl w:val="0"/>
          <w:numId w:val="4"/>
        </w:numPr>
        <w:pBdr>
          <w:top w:val="nil"/>
          <w:left w:val="nil"/>
          <w:bottom w:val="nil"/>
          <w:right w:val="nil"/>
          <w:between w:val="nil"/>
        </w:pBdr>
      </w:pPr>
      <w:r>
        <w:rPr>
          <w:b/>
          <w:bCs/>
        </w:rPr>
        <w:t>Hepatic Clearance Tracking:</w:t>
      </w:r>
      <w:r>
        <w:t xml:space="preserve"> Serum Alanine Aminotransferase (ALT) and Aspartate Aminotransferase (AST) must be logged monthly to track clearance profiles. Sustained elevations tracking at $\</w:t>
      </w:r>
      <w:proofErr w:type="spellStart"/>
      <w:r>
        <w:t>geq</w:t>
      </w:r>
      <w:proofErr w:type="spellEnd"/>
      <w:r>
        <w:t xml:space="preserve"> 1.5 \times$ to $</w:t>
      </w:r>
      <w:proofErr w:type="gramStart"/>
      <w:r>
        <w:t>2 \</w:t>
      </w:r>
      <w:proofErr w:type="gramEnd"/>
      <w:r>
        <w:t xml:space="preserve">times$ the Upper Limit of Normal (ULN) </w:t>
      </w:r>
      <w:proofErr w:type="gramStart"/>
      <w:r>
        <w:t>dictate</w:t>
      </w:r>
      <w:proofErr w:type="gramEnd"/>
      <w:r>
        <w:t xml:space="preserve"> the immediate, permanent exclusion of the investigational components from the treatment regimen.</w:t>
      </w:r>
    </w:p>
    <w:p w14:paraId="00000053" w14:textId="77777777" w:rsidR="002F315C" w:rsidRDefault="00000000">
      <w:pPr>
        <w:pStyle w:val="Heading2"/>
        <w:spacing w:after="240"/>
      </w:pPr>
      <w:r>
        <w:pict w14:anchorId="774A1507">
          <v:rect id="_x0000_i1029" style="width:0;height:1.5pt" o:hralign="center" o:hrstd="t" o:hr="t" fillcolor="#a0a0a0" stroked="f"/>
        </w:pict>
      </w:r>
    </w:p>
    <w:p w14:paraId="00000054" w14:textId="77777777" w:rsidR="002F315C" w:rsidRDefault="002F315C">
      <w:pPr>
        <w:pStyle w:val="Heading2"/>
        <w:spacing w:after="240"/>
        <w:rPr>
          <w:sz w:val="30"/>
          <w:szCs w:val="30"/>
        </w:rPr>
      </w:pPr>
    </w:p>
    <w:p w14:paraId="00000055" w14:textId="77777777" w:rsidR="002F315C" w:rsidRDefault="002F315C">
      <w:pPr>
        <w:pStyle w:val="Heading2"/>
        <w:spacing w:after="240"/>
        <w:rPr>
          <w:sz w:val="30"/>
          <w:szCs w:val="30"/>
        </w:rPr>
      </w:pPr>
    </w:p>
    <w:p w14:paraId="00000056" w14:textId="77777777" w:rsidR="002F315C" w:rsidRDefault="002F315C">
      <w:pPr>
        <w:pStyle w:val="Heading2"/>
        <w:spacing w:after="240"/>
        <w:rPr>
          <w:sz w:val="30"/>
          <w:szCs w:val="30"/>
        </w:rPr>
      </w:pPr>
    </w:p>
    <w:p w14:paraId="00000057" w14:textId="77777777" w:rsidR="002F315C" w:rsidRDefault="002F315C">
      <w:pPr>
        <w:pStyle w:val="Heading2"/>
        <w:spacing w:after="240"/>
        <w:rPr>
          <w:sz w:val="30"/>
          <w:szCs w:val="30"/>
        </w:rPr>
      </w:pPr>
    </w:p>
    <w:p w14:paraId="00000058" w14:textId="77777777" w:rsidR="002F315C" w:rsidRDefault="002F315C">
      <w:pPr>
        <w:pStyle w:val="Heading2"/>
        <w:spacing w:after="240"/>
        <w:rPr>
          <w:sz w:val="30"/>
          <w:szCs w:val="30"/>
        </w:rPr>
      </w:pPr>
    </w:p>
    <w:p w14:paraId="00000059" w14:textId="77777777" w:rsidR="002F315C" w:rsidRDefault="002F315C">
      <w:pPr>
        <w:pStyle w:val="Heading2"/>
        <w:spacing w:after="240"/>
        <w:rPr>
          <w:sz w:val="30"/>
          <w:szCs w:val="30"/>
        </w:rPr>
      </w:pPr>
    </w:p>
    <w:p w14:paraId="0000005A" w14:textId="77777777" w:rsidR="002F315C" w:rsidRDefault="002F315C">
      <w:pPr>
        <w:pStyle w:val="Heading2"/>
        <w:spacing w:after="240"/>
        <w:rPr>
          <w:sz w:val="30"/>
          <w:szCs w:val="30"/>
        </w:rPr>
      </w:pPr>
    </w:p>
    <w:p w14:paraId="0000005B" w14:textId="77777777" w:rsidR="002F315C" w:rsidRDefault="002F315C">
      <w:pPr>
        <w:pStyle w:val="Heading2"/>
        <w:spacing w:after="240"/>
        <w:rPr>
          <w:sz w:val="30"/>
          <w:szCs w:val="30"/>
        </w:rPr>
      </w:pPr>
    </w:p>
    <w:p w14:paraId="0000005C" w14:textId="77777777" w:rsidR="002F315C" w:rsidRDefault="002F315C">
      <w:pPr>
        <w:pStyle w:val="Heading2"/>
        <w:spacing w:after="240"/>
        <w:rPr>
          <w:sz w:val="30"/>
          <w:szCs w:val="30"/>
        </w:rPr>
      </w:pPr>
    </w:p>
    <w:p w14:paraId="0000005D" w14:textId="77777777" w:rsidR="002F315C" w:rsidRDefault="002F315C">
      <w:pPr>
        <w:pStyle w:val="Heading2"/>
        <w:spacing w:after="240"/>
        <w:rPr>
          <w:sz w:val="30"/>
          <w:szCs w:val="30"/>
        </w:rPr>
      </w:pPr>
    </w:p>
    <w:p w14:paraId="1A6E398B" w14:textId="77777777" w:rsidR="00A54C47" w:rsidRDefault="00A54C47" w:rsidP="00A54C47"/>
    <w:p w14:paraId="1BA1C4BF" w14:textId="77777777" w:rsidR="00A54C47" w:rsidRPr="00A54C47" w:rsidRDefault="00A54C47" w:rsidP="00A54C47"/>
    <w:p w14:paraId="0000005E" w14:textId="77777777" w:rsidR="002F315C" w:rsidRDefault="002F315C">
      <w:pPr>
        <w:pStyle w:val="Heading2"/>
        <w:spacing w:after="240"/>
        <w:rPr>
          <w:sz w:val="30"/>
          <w:szCs w:val="30"/>
        </w:rPr>
      </w:pPr>
    </w:p>
    <w:p w14:paraId="0000005F" w14:textId="77777777" w:rsidR="002F315C" w:rsidRDefault="00000000">
      <w:pPr>
        <w:pStyle w:val="Heading2"/>
        <w:spacing w:after="240"/>
        <w:rPr>
          <w:sz w:val="30"/>
          <w:szCs w:val="30"/>
        </w:rPr>
      </w:pPr>
      <w:r>
        <w:rPr>
          <w:sz w:val="30"/>
          <w:szCs w:val="30"/>
        </w:rPr>
        <w:lastRenderedPageBreak/>
        <w:t>V. Patient Informed Consent &amp; Authorization Signatures</w:t>
      </w:r>
    </w:p>
    <w:p w14:paraId="00000060" w14:textId="77777777" w:rsidR="002F315C" w:rsidRDefault="00000000">
      <w:pPr>
        <w:pBdr>
          <w:top w:val="nil"/>
          <w:left w:val="nil"/>
          <w:bottom w:val="nil"/>
          <w:right w:val="nil"/>
          <w:between w:val="nil"/>
        </w:pBdr>
        <w:spacing w:after="240"/>
      </w:pPr>
      <w:r>
        <w:t>I acknowledge that my participation in this 6-month integrative organic protocol is completely voluntary. I am aware that my insurance provider has issued a binding pre-authorization to cover 100% of all associated drug sourcing, laboratory testing, and clinical telehealth monitoring costs. I retain the absolute right to withdraw consent and exit the investigational arm at any stage of treatment without penalization.</w:t>
      </w:r>
    </w:p>
    <w:p w14:paraId="00000061" w14:textId="77777777" w:rsidR="002F315C" w:rsidRDefault="002F315C">
      <w:pPr>
        <w:pBdr>
          <w:top w:val="nil"/>
          <w:left w:val="nil"/>
          <w:bottom w:val="nil"/>
          <w:right w:val="nil"/>
          <w:between w:val="nil"/>
        </w:pBdr>
        <w:spacing w:before="240" w:after="240"/>
        <w:ind w:left="240" w:right="240"/>
      </w:pPr>
    </w:p>
    <w:p w14:paraId="00000062" w14:textId="77777777" w:rsidR="002F315C" w:rsidRDefault="00000000">
      <w:pPr>
        <w:pBdr>
          <w:top w:val="nil"/>
          <w:left w:val="nil"/>
          <w:bottom w:val="nil"/>
          <w:right w:val="nil"/>
          <w:between w:val="nil"/>
        </w:pBdr>
        <w:ind w:left="240" w:right="240"/>
        <w:rPr>
          <w:rFonts w:ascii="Courier" w:eastAsia="Courier" w:hAnsi="Courier" w:cs="Courier"/>
          <w:shd w:val="clear" w:color="auto" w:fill="F4F6F7"/>
        </w:rPr>
      </w:pPr>
      <w:r>
        <w:rPr>
          <w:rFonts w:ascii="Courier" w:eastAsia="Courier" w:hAnsi="Courier" w:cs="Courier"/>
          <w:shd w:val="clear" w:color="auto" w:fill="F4F6F7"/>
        </w:rPr>
        <w:t>________________________________________          __________________</w:t>
      </w:r>
      <w:r>
        <w:rPr>
          <w:rFonts w:ascii="Courier" w:eastAsia="Courier" w:hAnsi="Courier" w:cs="Courier"/>
          <w:shd w:val="clear" w:color="auto" w:fill="F4F6F7"/>
        </w:rPr>
        <w:br/>
        <w:t>Patient Signature                                 Date</w:t>
      </w:r>
      <w:r>
        <w:rPr>
          <w:rFonts w:ascii="Courier" w:eastAsia="Courier" w:hAnsi="Courier" w:cs="Courier"/>
          <w:shd w:val="clear" w:color="auto" w:fill="F4F6F7"/>
        </w:rPr>
        <w:br/>
      </w:r>
      <w:r>
        <w:rPr>
          <w:rFonts w:ascii="Courier" w:eastAsia="Courier" w:hAnsi="Courier" w:cs="Courier"/>
          <w:shd w:val="clear" w:color="auto" w:fill="F4F6F7"/>
        </w:rPr>
        <w:br/>
        <w:t>________________________________________          __________________</w:t>
      </w:r>
      <w:r>
        <w:rPr>
          <w:rFonts w:ascii="Courier" w:eastAsia="Courier" w:hAnsi="Courier" w:cs="Courier"/>
          <w:shd w:val="clear" w:color="auto" w:fill="F4F6F7"/>
        </w:rPr>
        <w:br/>
        <w:t xml:space="preserve">Physician Signature (Principal </w:t>
      </w:r>
      <w:proofErr w:type="gramStart"/>
      <w:r>
        <w:rPr>
          <w:rFonts w:ascii="Courier" w:eastAsia="Courier" w:hAnsi="Courier" w:cs="Courier"/>
          <w:shd w:val="clear" w:color="auto" w:fill="F4F6F7"/>
        </w:rPr>
        <w:t xml:space="preserve">Investigator)   </w:t>
      </w:r>
      <w:proofErr w:type="gramEnd"/>
      <w:r>
        <w:rPr>
          <w:rFonts w:ascii="Courier" w:eastAsia="Courier" w:hAnsi="Courier" w:cs="Courier"/>
          <w:shd w:val="clear" w:color="auto" w:fill="F4F6F7"/>
        </w:rPr>
        <w:t xml:space="preserve">   Date</w:t>
      </w:r>
      <w:r>
        <w:rPr>
          <w:rFonts w:ascii="Courier" w:eastAsia="Courier" w:hAnsi="Courier" w:cs="Courier"/>
          <w:shd w:val="clear" w:color="auto" w:fill="F4F6F7"/>
        </w:rPr>
        <w:br/>
      </w:r>
      <w:r>
        <w:rPr>
          <w:rFonts w:ascii="Courier" w:eastAsia="Courier" w:hAnsi="Courier" w:cs="Courier"/>
          <w:shd w:val="clear" w:color="auto" w:fill="F4F6F7"/>
        </w:rPr>
        <w:br/>
        <w:t>________________________________________          __________________</w:t>
      </w:r>
      <w:r>
        <w:rPr>
          <w:rFonts w:ascii="Courier" w:eastAsia="Courier" w:hAnsi="Courier" w:cs="Courier"/>
          <w:shd w:val="clear" w:color="auto" w:fill="F4F6F7"/>
        </w:rPr>
        <w:br/>
        <w:t>IRB Chairperson Signature                         Date</w:t>
      </w:r>
      <w:r>
        <w:rPr>
          <w:rFonts w:ascii="Courier" w:eastAsia="Courier" w:hAnsi="Courier" w:cs="Courier"/>
          <w:shd w:val="clear" w:color="auto" w:fill="F4F6F7"/>
        </w:rPr>
        <w:br/>
      </w:r>
    </w:p>
    <w:p w14:paraId="00000063" w14:textId="77777777" w:rsidR="002F315C" w:rsidRDefault="00000000">
      <w:pPr>
        <w:pStyle w:val="Heading2"/>
        <w:rPr>
          <w:rFonts w:ascii="Courier" w:eastAsia="Courier" w:hAnsi="Courier" w:cs="Courier"/>
          <w:shd w:val="clear" w:color="auto" w:fill="F4F6F7"/>
        </w:rPr>
      </w:pPr>
      <w:r>
        <w:pict w14:anchorId="1B54917B">
          <v:rect id="_x0000_i1030" style="width:0;height:1.5pt" o:hralign="center" o:hrstd="t" o:hr="t" fillcolor="#a0a0a0" stroked="f"/>
        </w:pict>
      </w:r>
    </w:p>
    <w:p w14:paraId="00000064" w14:textId="77777777" w:rsidR="002F315C" w:rsidRDefault="002F315C">
      <w:pPr>
        <w:pStyle w:val="Heading2"/>
        <w:rPr>
          <w:sz w:val="30"/>
          <w:szCs w:val="30"/>
        </w:rPr>
      </w:pPr>
    </w:p>
    <w:p w14:paraId="00000065" w14:textId="77777777" w:rsidR="002F315C" w:rsidRDefault="002F315C">
      <w:pPr>
        <w:pStyle w:val="Heading2"/>
        <w:rPr>
          <w:sz w:val="30"/>
          <w:szCs w:val="30"/>
        </w:rPr>
      </w:pPr>
    </w:p>
    <w:p w14:paraId="00000066" w14:textId="77777777" w:rsidR="002F315C" w:rsidRDefault="002F315C">
      <w:pPr>
        <w:pStyle w:val="Heading2"/>
        <w:rPr>
          <w:sz w:val="30"/>
          <w:szCs w:val="30"/>
        </w:rPr>
      </w:pPr>
    </w:p>
    <w:p w14:paraId="00000067" w14:textId="77777777" w:rsidR="002F315C" w:rsidRDefault="002F315C">
      <w:pPr>
        <w:pStyle w:val="Heading2"/>
        <w:rPr>
          <w:sz w:val="30"/>
          <w:szCs w:val="30"/>
        </w:rPr>
      </w:pPr>
    </w:p>
    <w:p w14:paraId="00000068" w14:textId="77777777" w:rsidR="002F315C" w:rsidRDefault="002F315C">
      <w:pPr>
        <w:pStyle w:val="Heading2"/>
        <w:rPr>
          <w:sz w:val="30"/>
          <w:szCs w:val="30"/>
        </w:rPr>
      </w:pPr>
    </w:p>
    <w:p w14:paraId="00000069" w14:textId="77777777" w:rsidR="002F315C" w:rsidRDefault="002F315C">
      <w:pPr>
        <w:pStyle w:val="Heading2"/>
        <w:rPr>
          <w:sz w:val="30"/>
          <w:szCs w:val="30"/>
        </w:rPr>
      </w:pPr>
    </w:p>
    <w:p w14:paraId="0000006A" w14:textId="77777777" w:rsidR="002F315C" w:rsidRDefault="002F315C">
      <w:pPr>
        <w:pStyle w:val="Heading2"/>
        <w:rPr>
          <w:sz w:val="30"/>
          <w:szCs w:val="30"/>
        </w:rPr>
      </w:pPr>
    </w:p>
    <w:p w14:paraId="0000006B" w14:textId="77777777" w:rsidR="002F315C" w:rsidRDefault="002F315C">
      <w:pPr>
        <w:pStyle w:val="Heading2"/>
        <w:rPr>
          <w:sz w:val="30"/>
          <w:szCs w:val="30"/>
        </w:rPr>
      </w:pPr>
    </w:p>
    <w:p w14:paraId="0000006C" w14:textId="77777777" w:rsidR="002F315C" w:rsidRDefault="002F315C">
      <w:pPr>
        <w:pStyle w:val="Heading2"/>
        <w:rPr>
          <w:sz w:val="30"/>
          <w:szCs w:val="30"/>
        </w:rPr>
      </w:pPr>
    </w:p>
    <w:p w14:paraId="7A9A3558" w14:textId="77777777" w:rsidR="00A54C47" w:rsidRPr="00A54C47" w:rsidRDefault="00A54C47" w:rsidP="00A54C47"/>
    <w:p w14:paraId="0000006D" w14:textId="77777777" w:rsidR="002F315C" w:rsidRDefault="002F315C">
      <w:pPr>
        <w:pStyle w:val="Heading2"/>
        <w:rPr>
          <w:sz w:val="30"/>
          <w:szCs w:val="30"/>
        </w:rPr>
      </w:pPr>
    </w:p>
    <w:p w14:paraId="0000006E" w14:textId="77777777" w:rsidR="002F315C" w:rsidRDefault="00000000">
      <w:pPr>
        <w:pStyle w:val="Heading2"/>
        <w:rPr>
          <w:sz w:val="30"/>
          <w:szCs w:val="30"/>
        </w:rPr>
      </w:pPr>
      <w:r>
        <w:rPr>
          <w:sz w:val="30"/>
          <w:szCs w:val="30"/>
        </w:rPr>
        <w:lastRenderedPageBreak/>
        <w:t>VI. Critical Pharmacokinetic Warnings &amp; Repository Index</w:t>
      </w:r>
    </w:p>
    <w:p w14:paraId="0000006F" w14:textId="77777777" w:rsidR="002F315C" w:rsidRDefault="00000000">
      <w:pPr>
        <w:numPr>
          <w:ilvl w:val="0"/>
          <w:numId w:val="5"/>
        </w:numPr>
        <w:pBdr>
          <w:top w:val="nil"/>
          <w:left w:val="nil"/>
          <w:bottom w:val="nil"/>
          <w:right w:val="nil"/>
          <w:between w:val="nil"/>
        </w:pBdr>
      </w:pPr>
      <w:r>
        <w:rPr>
          <w:b/>
          <w:bCs/>
        </w:rPr>
        <w:t>Renal Load Alert:</w:t>
      </w:r>
      <w:r>
        <w:t xml:space="preserve"> While </w:t>
      </w:r>
      <w:proofErr w:type="spellStart"/>
      <w:r>
        <w:t>KureaSH</w:t>
      </w:r>
      <w:proofErr w:type="spellEnd"/>
      <w:r>
        <w:t>™ utilizes a highly refined private-label manufacturing chain to guarantee absolute chemical purity, high-dose creatine monohydrate introduces an increased baseline turn-over of creatinine. Clinicians must carefully differentiate between standard exogenous creatine clearance and intrinsic pathological renal decline by balancing metrics against 24-hour urinary volume collections.</w:t>
      </w:r>
    </w:p>
    <w:p w14:paraId="00000070" w14:textId="77777777" w:rsidR="002F315C" w:rsidRDefault="00000000">
      <w:pPr>
        <w:numPr>
          <w:ilvl w:val="0"/>
          <w:numId w:val="5"/>
        </w:numPr>
        <w:pBdr>
          <w:top w:val="nil"/>
          <w:left w:val="nil"/>
          <w:bottom w:val="nil"/>
          <w:right w:val="nil"/>
          <w:between w:val="nil"/>
        </w:pBdr>
      </w:pPr>
      <w:r>
        <w:rPr>
          <w:b/>
          <w:bCs/>
        </w:rPr>
        <w:t>Technical Open-Science Documentation:</w:t>
      </w:r>
      <w:r>
        <w:t xml:space="preserve"> For comprehensive Chemistry, Manufacturing, and Controls (CMC) metrics, operational pipeline logistics, and federal compliance sourcing data under FDA GRAS Notice GRN 931, refer directly to the official technical development repositories:</w:t>
      </w:r>
    </w:p>
    <w:p w14:paraId="00000071" w14:textId="77777777" w:rsidR="002F315C" w:rsidRDefault="00000000">
      <w:pPr>
        <w:numPr>
          <w:ilvl w:val="1"/>
          <w:numId w:val="6"/>
        </w:numPr>
        <w:pBdr>
          <w:top w:val="nil"/>
          <w:left w:val="nil"/>
          <w:bottom w:val="nil"/>
          <w:right w:val="nil"/>
          <w:between w:val="nil"/>
        </w:pBdr>
      </w:pPr>
      <w:proofErr w:type="spellStart"/>
      <w:r>
        <w:rPr>
          <w:b/>
          <w:bCs/>
        </w:rPr>
        <w:t>KureaSH</w:t>
      </w:r>
      <w:proofErr w:type="spellEnd"/>
      <w:r>
        <w:rPr>
          <w:b/>
          <w:bCs/>
        </w:rPr>
        <w:t>™ 3000mg Bioenergetic Core:</w:t>
      </w:r>
      <w:r>
        <w:t xml:space="preserve"> https://github.com/VirusTC/KureaSH-3000mg</w:t>
      </w:r>
    </w:p>
    <w:p w14:paraId="00000072" w14:textId="77777777" w:rsidR="002F315C" w:rsidRDefault="00000000">
      <w:pPr>
        <w:numPr>
          <w:ilvl w:val="1"/>
          <w:numId w:val="6"/>
        </w:numPr>
        <w:pBdr>
          <w:top w:val="nil"/>
          <w:left w:val="nil"/>
          <w:bottom w:val="nil"/>
          <w:right w:val="nil"/>
          <w:between w:val="nil"/>
        </w:pBdr>
      </w:pPr>
      <w:proofErr w:type="spellStart"/>
      <w:r>
        <w:rPr>
          <w:b/>
          <w:bCs/>
        </w:rPr>
        <w:t>AlnayaSN</w:t>
      </w:r>
      <w:proofErr w:type="spellEnd"/>
      <w:r>
        <w:rPr>
          <w:b/>
          <w:bCs/>
        </w:rPr>
        <w:t>™ 500mg Deficiency Core:</w:t>
      </w:r>
      <w:r>
        <w:t xml:space="preserve"> https://github.com/VirusTC/AlnayaSN-500mg/tree/main</w:t>
      </w:r>
    </w:p>
    <w:p w14:paraId="00000073" w14:textId="77777777" w:rsidR="002F315C" w:rsidRDefault="00000000">
      <w:pPr>
        <w:numPr>
          <w:ilvl w:val="1"/>
          <w:numId w:val="6"/>
        </w:numPr>
        <w:pBdr>
          <w:top w:val="nil"/>
          <w:left w:val="nil"/>
          <w:bottom w:val="nil"/>
          <w:right w:val="nil"/>
          <w:between w:val="nil"/>
        </w:pBdr>
      </w:pPr>
      <w:proofErr w:type="spellStart"/>
      <w:r>
        <w:rPr>
          <w:b/>
          <w:bCs/>
        </w:rPr>
        <w:t>TsinKX</w:t>
      </w:r>
      <w:proofErr w:type="spellEnd"/>
      <w:r>
        <w:rPr>
          <w:b/>
          <w:bCs/>
        </w:rPr>
        <w:t xml:space="preserve"> 100mg Deficiency Core:</w:t>
      </w:r>
      <w:r>
        <w:t xml:space="preserve"> https://github.com/VirusTC/TsinKX-100mg</w:t>
      </w:r>
    </w:p>
    <w:p w14:paraId="00000074" w14:textId="77777777" w:rsidR="002F315C" w:rsidRDefault="00000000">
      <w:pPr>
        <w:pBdr>
          <w:top w:val="nil"/>
          <w:left w:val="nil"/>
          <w:bottom w:val="nil"/>
          <w:right w:val="nil"/>
          <w:between w:val="nil"/>
        </w:pBdr>
        <w:spacing w:before="240" w:after="240"/>
      </w:pPr>
      <w:r>
        <w:pict w14:anchorId="44B03079">
          <v:rect id="_x0000_i1031" style="width:0;height:1.5pt" o:hralign="center" o:hrstd="t" o:hr="t" fillcolor="#a0a0a0" stroked="f"/>
        </w:pict>
      </w:r>
    </w:p>
    <w:sectPr w:rsidR="002F315C" w:rsidSect="00A54C4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EBF7A" w14:textId="77777777" w:rsidR="00EC7AEA" w:rsidRDefault="00EC7AEA" w:rsidP="00A54C47">
      <w:r>
        <w:separator/>
      </w:r>
    </w:p>
  </w:endnote>
  <w:endnote w:type="continuationSeparator" w:id="0">
    <w:p w14:paraId="797867D3" w14:textId="77777777" w:rsidR="00EC7AEA" w:rsidRDefault="00EC7AEA" w:rsidP="00A54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B5ECACA-24C0-480D-8EFD-A0B322501DF7}"/>
  </w:font>
  <w:font w:name="Courier">
    <w:altName w:val="Courier New"/>
    <w:panose1 w:val="020704090202050204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54BD6BDE-15A7-4C7E-A58A-C52978020973}"/>
  </w:font>
  <w:font w:name="Cambria">
    <w:panose1 w:val="02040503050406030204"/>
    <w:charset w:val="00"/>
    <w:family w:val="roman"/>
    <w:pitch w:val="variable"/>
    <w:sig w:usb0="E00006FF" w:usb1="420024FF" w:usb2="02000000" w:usb3="00000000" w:csb0="0000019F" w:csb1="00000000"/>
    <w:embedRegular r:id="rId3" w:fontKey="{5CFD6489-E32F-44FB-BB5D-6E3B53BB5B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A00F7" w14:textId="55B8EEF2" w:rsidR="00A54C47" w:rsidRDefault="00A54C47" w:rsidP="00A54C47">
    <w:pPr>
      <w:pStyle w:val="Footer"/>
      <w:jc w:val="center"/>
    </w:pPr>
    <w:hyperlink r:id="rId1" w:history="1">
      <w:r w:rsidRPr="00BD5127">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235AF" w14:textId="3B566D70" w:rsidR="00A54C47" w:rsidRDefault="00A54C47" w:rsidP="00A54C47">
    <w:pPr>
      <w:pStyle w:val="Footer"/>
      <w:jc w:val="center"/>
    </w:pPr>
    <w:hyperlink r:id="rId1" w:history="1">
      <w:r w:rsidRPr="00BD5127">
        <w:rPr>
          <w:rStyle w:val="Hyperlink"/>
        </w:rPr>
        <w:t>https://www.foxrothschild.com/pharma-biotech</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F59AE" w14:textId="48F85846" w:rsidR="00A54C47" w:rsidRDefault="00A54C47" w:rsidP="00A54C47">
    <w:pPr>
      <w:pStyle w:val="Footer"/>
      <w:jc w:val="center"/>
    </w:pPr>
    <w:hyperlink r:id="rId1" w:history="1">
      <w:r w:rsidRPr="00A54C47">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DD7F0" w14:textId="77777777" w:rsidR="00EC7AEA" w:rsidRDefault="00EC7AEA" w:rsidP="00A54C47">
      <w:r>
        <w:separator/>
      </w:r>
    </w:p>
  </w:footnote>
  <w:footnote w:type="continuationSeparator" w:id="0">
    <w:p w14:paraId="4D6C78FE" w14:textId="77777777" w:rsidR="00EC7AEA" w:rsidRDefault="00EC7AEA" w:rsidP="00A54C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A2769" w14:textId="77777777" w:rsidR="00A54C47" w:rsidRDefault="00A54C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24086" w14:textId="77777777" w:rsidR="00A54C47" w:rsidRDefault="00A54C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7D9C6" w14:textId="77777777" w:rsidR="00A54C47" w:rsidRDefault="00A54C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30E99"/>
    <w:multiLevelType w:val="multilevel"/>
    <w:tmpl w:val="4D2E6B4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67A40AA"/>
    <w:multiLevelType w:val="multilevel"/>
    <w:tmpl w:val="101C87B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7022045"/>
    <w:multiLevelType w:val="multilevel"/>
    <w:tmpl w:val="5E3CA4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1A11CB8"/>
    <w:multiLevelType w:val="multilevel"/>
    <w:tmpl w:val="D4DEC2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BD87D49"/>
    <w:multiLevelType w:val="multilevel"/>
    <w:tmpl w:val="4D5E69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6AC7153"/>
    <w:multiLevelType w:val="multilevel"/>
    <w:tmpl w:val="82BE20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69144389">
    <w:abstractNumId w:val="1"/>
  </w:num>
  <w:num w:numId="2" w16cid:durableId="753432244">
    <w:abstractNumId w:val="4"/>
  </w:num>
  <w:num w:numId="3" w16cid:durableId="377975006">
    <w:abstractNumId w:val="5"/>
  </w:num>
  <w:num w:numId="4" w16cid:durableId="100689728">
    <w:abstractNumId w:val="0"/>
  </w:num>
  <w:num w:numId="5" w16cid:durableId="263733859">
    <w:abstractNumId w:val="2"/>
  </w:num>
  <w:num w:numId="6" w16cid:durableId="255948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15C"/>
    <w:rsid w:val="002F315C"/>
    <w:rsid w:val="007343F8"/>
    <w:rsid w:val="00A54C47"/>
    <w:rsid w:val="00DC2BAF"/>
    <w:rsid w:val="00EC7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267A2"/>
  <w15:docId w15:val="{6A12F885-6175-4456-B680-6F0C5846B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A54C47"/>
    <w:pPr>
      <w:tabs>
        <w:tab w:val="center" w:pos="4680"/>
        <w:tab w:val="right" w:pos="9360"/>
      </w:tabs>
    </w:pPr>
  </w:style>
  <w:style w:type="character" w:customStyle="1" w:styleId="HeaderChar">
    <w:name w:val="Header Char"/>
    <w:basedOn w:val="DefaultParagraphFont"/>
    <w:link w:val="Header"/>
    <w:uiPriority w:val="99"/>
    <w:rsid w:val="00A54C47"/>
  </w:style>
  <w:style w:type="paragraph" w:styleId="Footer">
    <w:name w:val="footer"/>
    <w:basedOn w:val="Normal"/>
    <w:link w:val="FooterChar"/>
    <w:uiPriority w:val="99"/>
    <w:unhideWhenUsed/>
    <w:rsid w:val="00A54C47"/>
    <w:pPr>
      <w:tabs>
        <w:tab w:val="center" w:pos="4680"/>
        <w:tab w:val="right" w:pos="9360"/>
      </w:tabs>
    </w:pPr>
  </w:style>
  <w:style w:type="character" w:customStyle="1" w:styleId="FooterChar">
    <w:name w:val="Footer Char"/>
    <w:basedOn w:val="DefaultParagraphFont"/>
    <w:link w:val="Footer"/>
    <w:uiPriority w:val="99"/>
    <w:rsid w:val="00A54C47"/>
  </w:style>
  <w:style w:type="character" w:styleId="Hyperlink">
    <w:name w:val="Hyperlink"/>
    <w:basedOn w:val="DefaultParagraphFont"/>
    <w:uiPriority w:val="99"/>
    <w:unhideWhenUsed/>
    <w:rsid w:val="00A54C47"/>
    <w:rPr>
      <w:color w:val="0000FF" w:themeColor="hyperlink"/>
      <w:u w:val="single"/>
    </w:rPr>
  </w:style>
  <w:style w:type="character" w:styleId="UnresolvedMention">
    <w:name w:val="Unresolved Mention"/>
    <w:basedOn w:val="DefaultParagraphFont"/>
    <w:uiPriority w:val="99"/>
    <w:semiHidden/>
    <w:unhideWhenUsed/>
    <w:rsid w:val="00A54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pharma-biotech"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1107</Words>
  <Characters>8082</Characters>
  <Application>Microsoft Office Word</Application>
  <DocSecurity>0</DocSecurity>
  <Lines>260</Lines>
  <Paragraphs>41</Paragraphs>
  <ScaleCrop>false</ScaleCrop>
  <Company/>
  <LinksUpToDate>false</LinksUpToDate>
  <CharactersWithSpaces>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Revolutionary Tech</dc:creator>
  <cp:lastModifiedBy>Cory Hofstad</cp:lastModifiedBy>
  <cp:revision>2</cp:revision>
  <dcterms:created xsi:type="dcterms:W3CDTF">2026-07-18T06:08:00Z</dcterms:created>
  <dcterms:modified xsi:type="dcterms:W3CDTF">2026-07-18T06:08:00Z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eb0f042f-1b13-462f-b873-1b11631536b2</vt:lpwstr>
  </property>
</Properties>
</file>