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370D7" w:rsidRDefault="00000000">
      <w:pPr>
        <w:pStyle w:val="Heading2"/>
        <w:spacing w:after="240"/>
        <w:rPr>
          <w:sz w:val="30"/>
          <w:szCs w:val="30"/>
        </w:rPr>
      </w:pPr>
      <w:r>
        <w:rPr>
          <w:sz w:val="30"/>
          <w:szCs w:val="30"/>
        </w:rPr>
        <w:t>Institutional Review Board (IRB) Clinical Protocol</w:t>
      </w:r>
    </w:p>
    <w:p w14:paraId="00000002" w14:textId="77777777" w:rsidR="008370D7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Protocol Status:</w:t>
      </w:r>
      <w:r>
        <w:t xml:space="preserve"> Single-Patient Expanded Access (Compassionate Use)</w:t>
      </w:r>
    </w:p>
    <w:p w14:paraId="00000003" w14:textId="77777777" w:rsidR="008370D7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Approved Treatment Duration:</w:t>
      </w:r>
      <w:r>
        <w:t xml:space="preserve"> 6 Months (Consecutive)</w:t>
      </w:r>
    </w:p>
    <w:p w14:paraId="00000004" w14:textId="77777777" w:rsidR="008370D7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Target Physiological Endpoint:</w:t>
      </w:r>
      <w:r>
        <w:t xml:space="preserve"> Stable Urinary pH of 8.0</w:t>
      </w:r>
    </w:p>
    <w:p w14:paraId="00000005" w14:textId="77777777" w:rsidR="008370D7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b/>
          <w:bCs/>
        </w:rPr>
        <w:t>Financial Status:</w:t>
      </w:r>
      <w:r>
        <w:t xml:space="preserve"> Voluntary Enrollment; 100% Insurer Funded</w:t>
      </w:r>
    </w:p>
    <w:p w14:paraId="00000006" w14:textId="77777777" w:rsidR="008370D7" w:rsidRDefault="00000000">
      <w:pPr>
        <w:pStyle w:val="Heading2"/>
        <w:spacing w:after="240"/>
      </w:pPr>
      <w:r>
        <w:pict w14:anchorId="507BFB35">
          <v:rect id="_x0000_i1025" style="width:0;height:1.5pt" o:hralign="center" o:hrstd="t" o:hr="t" fillcolor="#a0a0a0" stroked="f"/>
        </w:pict>
      </w:r>
    </w:p>
    <w:p w14:paraId="00000007" w14:textId="77777777" w:rsidR="008370D7" w:rsidRDefault="008370D7">
      <w:pPr>
        <w:pStyle w:val="Heading2"/>
        <w:spacing w:after="240"/>
        <w:rPr>
          <w:sz w:val="30"/>
          <w:szCs w:val="30"/>
        </w:rPr>
      </w:pPr>
    </w:p>
    <w:p w14:paraId="00000008" w14:textId="77777777" w:rsidR="008370D7" w:rsidRDefault="008370D7">
      <w:pPr>
        <w:pStyle w:val="Heading2"/>
        <w:spacing w:after="240"/>
        <w:rPr>
          <w:sz w:val="30"/>
          <w:szCs w:val="30"/>
        </w:rPr>
      </w:pPr>
    </w:p>
    <w:p w14:paraId="00000009" w14:textId="77777777" w:rsidR="008370D7" w:rsidRDefault="008370D7">
      <w:pPr>
        <w:pStyle w:val="Heading2"/>
        <w:spacing w:after="240"/>
        <w:rPr>
          <w:sz w:val="30"/>
          <w:szCs w:val="30"/>
        </w:rPr>
      </w:pPr>
    </w:p>
    <w:p w14:paraId="0000000A" w14:textId="77777777" w:rsidR="008370D7" w:rsidRDefault="008370D7">
      <w:pPr>
        <w:pStyle w:val="Heading2"/>
        <w:spacing w:after="240"/>
        <w:rPr>
          <w:sz w:val="30"/>
          <w:szCs w:val="30"/>
        </w:rPr>
      </w:pPr>
    </w:p>
    <w:p w14:paraId="0000000B" w14:textId="77777777" w:rsidR="008370D7" w:rsidRDefault="008370D7">
      <w:pPr>
        <w:pStyle w:val="Heading2"/>
        <w:spacing w:after="240"/>
        <w:rPr>
          <w:sz w:val="30"/>
          <w:szCs w:val="30"/>
        </w:rPr>
      </w:pPr>
    </w:p>
    <w:p w14:paraId="0000000C" w14:textId="77777777" w:rsidR="008370D7" w:rsidRDefault="008370D7">
      <w:pPr>
        <w:pStyle w:val="Heading2"/>
        <w:spacing w:after="240"/>
        <w:rPr>
          <w:sz w:val="30"/>
          <w:szCs w:val="30"/>
        </w:rPr>
      </w:pPr>
    </w:p>
    <w:p w14:paraId="0000000D" w14:textId="77777777" w:rsidR="008370D7" w:rsidRDefault="008370D7">
      <w:pPr>
        <w:pStyle w:val="Heading2"/>
        <w:spacing w:after="240"/>
        <w:rPr>
          <w:sz w:val="30"/>
          <w:szCs w:val="30"/>
        </w:rPr>
      </w:pPr>
    </w:p>
    <w:p w14:paraId="0000000E" w14:textId="77777777" w:rsidR="008370D7" w:rsidRDefault="008370D7">
      <w:pPr>
        <w:pStyle w:val="Heading2"/>
        <w:spacing w:after="240"/>
        <w:rPr>
          <w:sz w:val="30"/>
          <w:szCs w:val="30"/>
        </w:rPr>
      </w:pPr>
    </w:p>
    <w:p w14:paraId="0000000F" w14:textId="77777777" w:rsidR="008370D7" w:rsidRDefault="008370D7">
      <w:pPr>
        <w:pStyle w:val="Heading2"/>
        <w:spacing w:after="240"/>
        <w:rPr>
          <w:sz w:val="30"/>
          <w:szCs w:val="30"/>
        </w:rPr>
      </w:pPr>
    </w:p>
    <w:p w14:paraId="00000010" w14:textId="77777777" w:rsidR="008370D7" w:rsidRDefault="008370D7">
      <w:pPr>
        <w:pStyle w:val="Heading2"/>
        <w:spacing w:after="240"/>
        <w:rPr>
          <w:sz w:val="30"/>
          <w:szCs w:val="30"/>
        </w:rPr>
      </w:pPr>
    </w:p>
    <w:p w14:paraId="00000011" w14:textId="77777777" w:rsidR="008370D7" w:rsidRDefault="008370D7">
      <w:pPr>
        <w:pStyle w:val="Heading2"/>
        <w:spacing w:after="240"/>
        <w:rPr>
          <w:sz w:val="30"/>
          <w:szCs w:val="30"/>
        </w:rPr>
      </w:pPr>
    </w:p>
    <w:p w14:paraId="00000012" w14:textId="77777777" w:rsidR="008370D7" w:rsidRDefault="008370D7">
      <w:pPr>
        <w:pStyle w:val="Heading2"/>
        <w:spacing w:after="240"/>
        <w:rPr>
          <w:sz w:val="30"/>
          <w:szCs w:val="30"/>
        </w:rPr>
      </w:pPr>
    </w:p>
    <w:p w14:paraId="00000013" w14:textId="77777777" w:rsidR="008370D7" w:rsidRDefault="008370D7">
      <w:pPr>
        <w:pStyle w:val="Heading2"/>
        <w:spacing w:after="240"/>
        <w:rPr>
          <w:sz w:val="30"/>
          <w:szCs w:val="30"/>
        </w:rPr>
      </w:pPr>
    </w:p>
    <w:p w14:paraId="00000014" w14:textId="77777777" w:rsidR="008370D7" w:rsidRDefault="008370D7">
      <w:pPr>
        <w:pStyle w:val="Heading2"/>
        <w:spacing w:after="240"/>
        <w:rPr>
          <w:sz w:val="30"/>
          <w:szCs w:val="30"/>
        </w:rPr>
      </w:pPr>
    </w:p>
    <w:p w14:paraId="00000015" w14:textId="77777777" w:rsidR="008370D7" w:rsidRDefault="008370D7">
      <w:pPr>
        <w:pStyle w:val="Heading2"/>
        <w:spacing w:after="240"/>
        <w:rPr>
          <w:sz w:val="30"/>
          <w:szCs w:val="30"/>
        </w:rPr>
      </w:pPr>
    </w:p>
    <w:p w14:paraId="00000016" w14:textId="77777777" w:rsidR="008370D7" w:rsidRDefault="008370D7">
      <w:pPr>
        <w:pStyle w:val="Heading2"/>
        <w:spacing w:after="240"/>
        <w:rPr>
          <w:sz w:val="30"/>
          <w:szCs w:val="30"/>
        </w:rPr>
      </w:pPr>
    </w:p>
    <w:p w14:paraId="43D104CD" w14:textId="77777777" w:rsidR="00BB03D3" w:rsidRDefault="00BB03D3" w:rsidP="00BB03D3"/>
    <w:p w14:paraId="7C02443B" w14:textId="77777777" w:rsidR="00BB03D3" w:rsidRPr="00BB03D3" w:rsidRDefault="00BB03D3" w:rsidP="00BB03D3"/>
    <w:p w14:paraId="00000017" w14:textId="77777777" w:rsidR="008370D7" w:rsidRDefault="00000000">
      <w:pPr>
        <w:pStyle w:val="Heading2"/>
        <w:spacing w:after="240"/>
        <w:rPr>
          <w:sz w:val="30"/>
          <w:szCs w:val="30"/>
        </w:rPr>
      </w:pPr>
      <w:r>
        <w:rPr>
          <w:sz w:val="30"/>
          <w:szCs w:val="30"/>
        </w:rPr>
        <w:lastRenderedPageBreak/>
        <w:t>I. Rationale &amp; Synergistic Mechanisms</w:t>
      </w:r>
    </w:p>
    <w:p w14:paraId="00000018" w14:textId="77777777" w:rsidR="008370D7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>This protocol establishes a managed, 6-month single-patient expanded access framework utilizing an organic, dual-pathway approach to correct severe metabolic imbalances and manage chronic crystallization risk.</w:t>
      </w:r>
    </w:p>
    <w:p w14:paraId="00000019" w14:textId="77777777" w:rsidR="008370D7" w:rsidRDefault="00000000">
      <w:pPr>
        <w:pStyle w:val="Heading2"/>
        <w:spacing w:before="0" w:after="240"/>
        <w:rPr>
          <w:sz w:val="24"/>
          <w:szCs w:val="24"/>
        </w:rPr>
      </w:pPr>
      <w:r>
        <w:rPr>
          <w:sz w:val="24"/>
          <w:szCs w:val="24"/>
        </w:rPr>
        <w:t>I. Rationale &amp; Synergistic Mechanisms</w:t>
      </w:r>
    </w:p>
    <w:p w14:paraId="0000001A" w14:textId="77777777" w:rsidR="008370D7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>The protocol utilizes a 6-month, dual-pathway approach for metabolic management and crystallization risk:</w:t>
      </w:r>
    </w:p>
    <w:p w14:paraId="0000001B" w14:textId="77777777" w:rsidR="008370D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Systemic &amp; Urinary Alkalization:</w:t>
      </w:r>
      <w:r>
        <w:t xml:space="preserve"> An organic citrate matrix creates a steady-state alkaline load, shifting urinary pH to </w:t>
      </w:r>
      <w:proofErr w:type="gramStart"/>
      <w:r>
        <w:t>a</w:t>
      </w:r>
      <w:proofErr w:type="gramEnd"/>
      <w:r>
        <w:t xml:space="preserve"> 8.0 target to reduce crystal formation.</w:t>
      </w:r>
    </w:p>
    <w:p w14:paraId="0000001C" w14:textId="77777777" w:rsidR="008370D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Exogenous Antioxidant Support:</w:t>
      </w:r>
      <w:r>
        <w:t xml:space="preserve"> </w:t>
      </w:r>
      <w:r>
        <w:rPr>
          <w:b/>
          <w:bCs/>
        </w:rPr>
        <w:t>MusKT</w:t>
      </w:r>
      <w:r>
        <w:t xml:space="preserve"> (standardized </w:t>
      </w:r>
      <w:r>
        <w:rPr>
          <w:i/>
          <w:iCs/>
        </w:rPr>
        <w:t>Myristica fragrans</w:t>
      </w:r>
      <w:r>
        <w:t xml:space="preserve"> seed extract) provides polyphenolic, terpenoid, and flavonoid constituents to shield against oxidative stress, supporting the protocol requirements.</w:t>
      </w:r>
    </w:p>
    <w:p w14:paraId="0000001D" w14:textId="77777777" w:rsidR="008370D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Plant-Derived Sparing Framework:</w:t>
      </w:r>
      <w:r>
        <w:t xml:space="preserve"> Utilizing natural citrate matrices avoids mineral precipitation, with bioflavonoids (hesperidin/</w:t>
      </w:r>
      <w:proofErr w:type="spellStart"/>
      <w:r>
        <w:t>eriocitrin</w:t>
      </w:r>
      <w:proofErr w:type="spellEnd"/>
      <w:r>
        <w:t>) and dimeric phenylpropanoids offering a gentle, sustained metabolic approach.</w:t>
      </w:r>
    </w:p>
    <w:p w14:paraId="0000001E" w14:textId="77777777" w:rsidR="008370D7" w:rsidRDefault="008370D7">
      <w:pPr>
        <w:pStyle w:val="Heading2"/>
        <w:spacing w:after="240"/>
        <w:rPr>
          <w:sz w:val="24"/>
          <w:szCs w:val="24"/>
        </w:rPr>
      </w:pPr>
    </w:p>
    <w:p w14:paraId="0000001F" w14:textId="77777777" w:rsidR="008370D7" w:rsidRDefault="008370D7">
      <w:pPr>
        <w:pStyle w:val="Heading2"/>
        <w:spacing w:after="240"/>
        <w:rPr>
          <w:sz w:val="24"/>
          <w:szCs w:val="24"/>
        </w:rPr>
      </w:pPr>
    </w:p>
    <w:p w14:paraId="00000020" w14:textId="77777777" w:rsidR="008370D7" w:rsidRDefault="008370D7">
      <w:pPr>
        <w:pStyle w:val="Heading2"/>
        <w:spacing w:after="240"/>
        <w:rPr>
          <w:sz w:val="24"/>
          <w:szCs w:val="24"/>
        </w:rPr>
      </w:pPr>
    </w:p>
    <w:p w14:paraId="00000021" w14:textId="77777777" w:rsidR="008370D7" w:rsidRDefault="008370D7">
      <w:pPr>
        <w:pStyle w:val="Heading2"/>
        <w:spacing w:after="240"/>
        <w:rPr>
          <w:sz w:val="24"/>
          <w:szCs w:val="24"/>
        </w:rPr>
      </w:pPr>
    </w:p>
    <w:p w14:paraId="00000022" w14:textId="77777777" w:rsidR="008370D7" w:rsidRDefault="008370D7">
      <w:pPr>
        <w:pStyle w:val="Heading2"/>
        <w:spacing w:after="240"/>
        <w:rPr>
          <w:sz w:val="24"/>
          <w:szCs w:val="24"/>
        </w:rPr>
      </w:pPr>
    </w:p>
    <w:p w14:paraId="00000023" w14:textId="77777777" w:rsidR="008370D7" w:rsidRDefault="008370D7">
      <w:pPr>
        <w:pStyle w:val="Heading2"/>
        <w:spacing w:after="240"/>
        <w:rPr>
          <w:sz w:val="24"/>
          <w:szCs w:val="24"/>
        </w:rPr>
      </w:pPr>
    </w:p>
    <w:p w14:paraId="00000024" w14:textId="77777777" w:rsidR="008370D7" w:rsidRDefault="008370D7">
      <w:pPr>
        <w:pStyle w:val="Heading2"/>
        <w:spacing w:after="240"/>
        <w:rPr>
          <w:sz w:val="24"/>
          <w:szCs w:val="24"/>
        </w:rPr>
      </w:pPr>
    </w:p>
    <w:p w14:paraId="00000025" w14:textId="77777777" w:rsidR="008370D7" w:rsidRDefault="008370D7">
      <w:pPr>
        <w:pStyle w:val="Heading2"/>
        <w:spacing w:after="240"/>
        <w:rPr>
          <w:sz w:val="24"/>
          <w:szCs w:val="24"/>
        </w:rPr>
      </w:pPr>
    </w:p>
    <w:p w14:paraId="00000026" w14:textId="77777777" w:rsidR="008370D7" w:rsidRDefault="008370D7">
      <w:pPr>
        <w:pStyle w:val="Heading2"/>
        <w:spacing w:after="240"/>
        <w:rPr>
          <w:sz w:val="24"/>
          <w:szCs w:val="24"/>
        </w:rPr>
      </w:pPr>
    </w:p>
    <w:p w14:paraId="00000027" w14:textId="77777777" w:rsidR="008370D7" w:rsidRDefault="008370D7">
      <w:pPr>
        <w:pStyle w:val="Heading2"/>
        <w:spacing w:after="240"/>
        <w:rPr>
          <w:sz w:val="24"/>
          <w:szCs w:val="24"/>
        </w:rPr>
      </w:pPr>
    </w:p>
    <w:p w14:paraId="00000028" w14:textId="77777777" w:rsidR="008370D7" w:rsidRDefault="008370D7">
      <w:pPr>
        <w:pStyle w:val="Heading2"/>
        <w:spacing w:after="240"/>
        <w:rPr>
          <w:sz w:val="24"/>
          <w:szCs w:val="24"/>
        </w:rPr>
      </w:pPr>
    </w:p>
    <w:p w14:paraId="00000029" w14:textId="77777777" w:rsidR="008370D7" w:rsidRDefault="008370D7">
      <w:pPr>
        <w:pStyle w:val="Heading2"/>
        <w:spacing w:after="240"/>
        <w:rPr>
          <w:sz w:val="24"/>
          <w:szCs w:val="24"/>
        </w:rPr>
      </w:pPr>
    </w:p>
    <w:p w14:paraId="0000002A" w14:textId="77777777" w:rsidR="008370D7" w:rsidRDefault="008370D7">
      <w:pPr>
        <w:pStyle w:val="Heading2"/>
        <w:spacing w:after="240"/>
        <w:rPr>
          <w:sz w:val="24"/>
          <w:szCs w:val="24"/>
        </w:rPr>
      </w:pPr>
    </w:p>
    <w:p w14:paraId="0000002B" w14:textId="77777777" w:rsidR="008370D7" w:rsidRDefault="008370D7">
      <w:pPr>
        <w:pStyle w:val="Heading2"/>
        <w:spacing w:after="240"/>
        <w:rPr>
          <w:sz w:val="24"/>
          <w:szCs w:val="24"/>
        </w:rPr>
      </w:pPr>
    </w:p>
    <w:p w14:paraId="773BAF79" w14:textId="77777777" w:rsidR="00BB03D3" w:rsidRPr="00BB03D3" w:rsidRDefault="00BB03D3" w:rsidP="00BB03D3"/>
    <w:p w14:paraId="0000002C" w14:textId="77777777" w:rsidR="008370D7" w:rsidRDefault="00000000">
      <w:pPr>
        <w:pStyle w:val="Heading2"/>
        <w:spacing w:after="240"/>
        <w:rPr>
          <w:sz w:val="24"/>
          <w:szCs w:val="24"/>
        </w:rPr>
      </w:pPr>
      <w:r>
        <w:rPr>
          <w:sz w:val="24"/>
          <w:szCs w:val="24"/>
        </w:rPr>
        <w:lastRenderedPageBreak/>
        <w:t>II. Mandatory Primary Citric Acid Pathway Selection</w:t>
      </w:r>
    </w:p>
    <w:p w14:paraId="0000002D" w14:textId="77777777" w:rsidR="008370D7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>Clinicians must select and verify the organic, plant-derived citric acid backbone for this 6-month protocol:</w:t>
      </w:r>
    </w:p>
    <w:p w14:paraId="0000002E" w14:textId="77777777" w:rsidR="008370D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Nimbu</w:t>
      </w:r>
      <w:proofErr w:type="spellEnd"/>
      <w:r>
        <w:rPr>
          <w:b/>
          <w:bCs/>
        </w:rPr>
        <w:t xml:space="preserve">-RX (Organic </w:t>
      </w:r>
      <w:r>
        <w:rPr>
          <w:b/>
          <w:bCs/>
          <w:i/>
          <w:iCs/>
        </w:rPr>
        <w:t xml:space="preserve">Citrus </w:t>
      </w:r>
      <w:proofErr w:type="spellStart"/>
      <w:r>
        <w:rPr>
          <w:b/>
          <w:bCs/>
          <w:i/>
          <w:iCs/>
        </w:rPr>
        <w:t>aurantiifolia</w:t>
      </w:r>
      <w:proofErr w:type="spellEnd"/>
      <w:r>
        <w:rPr>
          <w:b/>
          <w:bCs/>
        </w:rPr>
        <w:t xml:space="preserve"> Matrix):</w:t>
      </w:r>
      <w:r>
        <w:t xml:space="preserve"> A plant-derived citrate matrix, derived via low-temperature freeze-drying.</w:t>
      </w:r>
    </w:p>
    <w:p w14:paraId="0000002F" w14:textId="77777777" w:rsidR="008370D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LimauYM</w:t>
      </w:r>
      <w:proofErr w:type="spellEnd"/>
      <w:r>
        <w:rPr>
          <w:b/>
          <w:bCs/>
        </w:rPr>
        <w:t xml:space="preserve"> (Organic </w:t>
      </w:r>
      <w:r>
        <w:rPr>
          <w:b/>
          <w:bCs/>
          <w:i/>
          <w:iCs/>
        </w:rPr>
        <w:t>Citrus limon</w:t>
      </w:r>
      <w:r>
        <w:rPr>
          <w:b/>
          <w:bCs/>
        </w:rPr>
        <w:t xml:space="preserve"> Matrix):</w:t>
      </w:r>
      <w:r>
        <w:t xml:space="preserve"> Refined plant-derived citric acid.</w:t>
      </w:r>
    </w:p>
    <w:p w14:paraId="00000030" w14:textId="77777777" w:rsidR="008370D7" w:rsidRDefault="008370D7">
      <w:pPr>
        <w:pStyle w:val="Heading2"/>
        <w:rPr>
          <w:sz w:val="24"/>
          <w:szCs w:val="24"/>
        </w:rPr>
      </w:pPr>
    </w:p>
    <w:p w14:paraId="00000031" w14:textId="77777777" w:rsidR="008370D7" w:rsidRDefault="008370D7">
      <w:pPr>
        <w:pStyle w:val="Heading2"/>
        <w:rPr>
          <w:sz w:val="24"/>
          <w:szCs w:val="24"/>
        </w:rPr>
      </w:pPr>
    </w:p>
    <w:p w14:paraId="00000032" w14:textId="77777777" w:rsidR="008370D7" w:rsidRDefault="008370D7">
      <w:pPr>
        <w:pStyle w:val="Heading2"/>
        <w:rPr>
          <w:sz w:val="24"/>
          <w:szCs w:val="24"/>
        </w:rPr>
      </w:pPr>
    </w:p>
    <w:p w14:paraId="00000033" w14:textId="77777777" w:rsidR="008370D7" w:rsidRDefault="008370D7">
      <w:pPr>
        <w:pStyle w:val="Heading2"/>
        <w:rPr>
          <w:sz w:val="24"/>
          <w:szCs w:val="24"/>
        </w:rPr>
      </w:pPr>
    </w:p>
    <w:p w14:paraId="00000034" w14:textId="77777777" w:rsidR="008370D7" w:rsidRDefault="008370D7">
      <w:pPr>
        <w:pStyle w:val="Heading2"/>
        <w:rPr>
          <w:sz w:val="24"/>
          <w:szCs w:val="24"/>
        </w:rPr>
      </w:pPr>
    </w:p>
    <w:p w14:paraId="00000035" w14:textId="77777777" w:rsidR="008370D7" w:rsidRDefault="008370D7">
      <w:pPr>
        <w:pStyle w:val="Heading2"/>
        <w:rPr>
          <w:sz w:val="24"/>
          <w:szCs w:val="24"/>
        </w:rPr>
      </w:pPr>
    </w:p>
    <w:p w14:paraId="00000036" w14:textId="77777777" w:rsidR="008370D7" w:rsidRDefault="008370D7">
      <w:pPr>
        <w:pStyle w:val="Heading2"/>
        <w:rPr>
          <w:sz w:val="24"/>
          <w:szCs w:val="24"/>
        </w:rPr>
      </w:pPr>
    </w:p>
    <w:p w14:paraId="00000037" w14:textId="77777777" w:rsidR="008370D7" w:rsidRDefault="008370D7">
      <w:pPr>
        <w:pStyle w:val="Heading2"/>
        <w:rPr>
          <w:sz w:val="24"/>
          <w:szCs w:val="24"/>
        </w:rPr>
      </w:pPr>
    </w:p>
    <w:p w14:paraId="00000038" w14:textId="77777777" w:rsidR="008370D7" w:rsidRDefault="008370D7">
      <w:pPr>
        <w:pStyle w:val="Heading2"/>
        <w:rPr>
          <w:sz w:val="24"/>
          <w:szCs w:val="24"/>
        </w:rPr>
      </w:pPr>
    </w:p>
    <w:p w14:paraId="00000039" w14:textId="77777777" w:rsidR="008370D7" w:rsidRDefault="008370D7">
      <w:pPr>
        <w:pStyle w:val="Heading2"/>
        <w:rPr>
          <w:sz w:val="24"/>
          <w:szCs w:val="24"/>
        </w:rPr>
      </w:pPr>
    </w:p>
    <w:p w14:paraId="0000003A" w14:textId="77777777" w:rsidR="008370D7" w:rsidRDefault="008370D7">
      <w:pPr>
        <w:pStyle w:val="Heading2"/>
        <w:rPr>
          <w:sz w:val="24"/>
          <w:szCs w:val="24"/>
        </w:rPr>
      </w:pPr>
    </w:p>
    <w:p w14:paraId="0000003B" w14:textId="77777777" w:rsidR="008370D7" w:rsidRDefault="008370D7">
      <w:pPr>
        <w:pStyle w:val="Heading2"/>
        <w:rPr>
          <w:sz w:val="24"/>
          <w:szCs w:val="24"/>
        </w:rPr>
      </w:pPr>
    </w:p>
    <w:p w14:paraId="0000003C" w14:textId="77777777" w:rsidR="008370D7" w:rsidRDefault="008370D7">
      <w:pPr>
        <w:pStyle w:val="Heading2"/>
        <w:rPr>
          <w:sz w:val="24"/>
          <w:szCs w:val="24"/>
        </w:rPr>
      </w:pPr>
    </w:p>
    <w:p w14:paraId="0000003D" w14:textId="77777777" w:rsidR="008370D7" w:rsidRDefault="008370D7">
      <w:pPr>
        <w:pStyle w:val="Heading2"/>
        <w:rPr>
          <w:sz w:val="24"/>
          <w:szCs w:val="24"/>
        </w:rPr>
      </w:pPr>
    </w:p>
    <w:p w14:paraId="0000003E" w14:textId="77777777" w:rsidR="008370D7" w:rsidRDefault="008370D7">
      <w:pPr>
        <w:pStyle w:val="Heading2"/>
        <w:rPr>
          <w:sz w:val="24"/>
          <w:szCs w:val="24"/>
        </w:rPr>
      </w:pPr>
    </w:p>
    <w:p w14:paraId="0000003F" w14:textId="77777777" w:rsidR="008370D7" w:rsidRDefault="008370D7">
      <w:pPr>
        <w:pStyle w:val="Heading2"/>
        <w:rPr>
          <w:sz w:val="24"/>
          <w:szCs w:val="24"/>
        </w:rPr>
      </w:pPr>
    </w:p>
    <w:p w14:paraId="00000040" w14:textId="77777777" w:rsidR="008370D7" w:rsidRDefault="008370D7">
      <w:pPr>
        <w:pStyle w:val="Heading2"/>
        <w:rPr>
          <w:sz w:val="24"/>
          <w:szCs w:val="24"/>
        </w:rPr>
      </w:pPr>
    </w:p>
    <w:p w14:paraId="00000041" w14:textId="77777777" w:rsidR="008370D7" w:rsidRDefault="008370D7">
      <w:pPr>
        <w:pStyle w:val="Heading2"/>
        <w:rPr>
          <w:sz w:val="24"/>
          <w:szCs w:val="24"/>
        </w:rPr>
      </w:pPr>
    </w:p>
    <w:p w14:paraId="00000042" w14:textId="77777777" w:rsidR="008370D7" w:rsidRDefault="008370D7">
      <w:pPr>
        <w:pStyle w:val="Heading2"/>
        <w:rPr>
          <w:sz w:val="24"/>
          <w:szCs w:val="24"/>
        </w:rPr>
      </w:pPr>
    </w:p>
    <w:p w14:paraId="00000043" w14:textId="77777777" w:rsidR="008370D7" w:rsidRDefault="008370D7">
      <w:pPr>
        <w:pStyle w:val="Heading2"/>
        <w:rPr>
          <w:sz w:val="24"/>
          <w:szCs w:val="24"/>
        </w:rPr>
      </w:pPr>
    </w:p>
    <w:p w14:paraId="544CAE54" w14:textId="77777777" w:rsidR="00BB03D3" w:rsidRPr="00BB03D3" w:rsidRDefault="00BB03D3" w:rsidP="00BB03D3"/>
    <w:p w14:paraId="00000044" w14:textId="77777777" w:rsidR="008370D7" w:rsidRDefault="00000000">
      <w:pPr>
        <w:pStyle w:val="Heading2"/>
        <w:rPr>
          <w:sz w:val="24"/>
          <w:szCs w:val="24"/>
        </w:rPr>
      </w:pPr>
      <w:r>
        <w:rPr>
          <w:sz w:val="24"/>
          <w:szCs w:val="24"/>
        </w:rPr>
        <w:lastRenderedPageBreak/>
        <w:t>III. Standardized Clinical Protocol &amp; Administration</w:t>
      </w:r>
    </w:p>
    <w:p w14:paraId="00000045" w14:textId="77777777" w:rsidR="008370D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MusKT</w:t>
      </w:r>
      <w:r>
        <w:t xml:space="preserve"> is taken daily with the morning citrus dose.</w:t>
      </w:r>
    </w:p>
    <w:p w14:paraId="00000046" w14:textId="77777777" w:rsidR="008370D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Citrus Protocols:</w:t>
      </w:r>
      <w:r>
        <w:t xml:space="preserve"> Taken 4 times daily, every 6 hours.</w:t>
      </w:r>
    </w:p>
    <w:p w14:paraId="00000047" w14:textId="77777777" w:rsidR="008370D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Dental Care:</w:t>
      </w:r>
      <w:r>
        <w:t xml:space="preserve"> A mandatory 5-minute post-dose water rinse is required.</w:t>
      </w:r>
    </w:p>
    <w:p w14:paraId="00000048" w14:textId="77777777" w:rsidR="008370D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Safety Exception:</w:t>
      </w:r>
      <w:r>
        <w:t xml:space="preserve"> If the patient presents with WHO Visual Mucositis Grade $\</w:t>
      </w:r>
      <w:proofErr w:type="spellStart"/>
      <w:r>
        <w:t>geq</w:t>
      </w:r>
      <w:proofErr w:type="spellEnd"/>
      <w:r>
        <w:t xml:space="preserve"> 2$, the protocol must be paused.</w:t>
      </w:r>
    </w:p>
    <w:p w14:paraId="00000049" w14:textId="77777777" w:rsidR="008370D7" w:rsidRDefault="008370D7">
      <w:pPr>
        <w:pStyle w:val="Heading2"/>
        <w:rPr>
          <w:sz w:val="24"/>
          <w:szCs w:val="24"/>
        </w:rPr>
      </w:pPr>
    </w:p>
    <w:p w14:paraId="0000004A" w14:textId="77777777" w:rsidR="008370D7" w:rsidRDefault="008370D7">
      <w:pPr>
        <w:pStyle w:val="Heading2"/>
        <w:rPr>
          <w:sz w:val="24"/>
          <w:szCs w:val="24"/>
        </w:rPr>
      </w:pPr>
    </w:p>
    <w:p w14:paraId="0000004B" w14:textId="77777777" w:rsidR="008370D7" w:rsidRDefault="008370D7">
      <w:pPr>
        <w:pStyle w:val="Heading2"/>
        <w:rPr>
          <w:sz w:val="24"/>
          <w:szCs w:val="24"/>
        </w:rPr>
      </w:pPr>
    </w:p>
    <w:p w14:paraId="0000004C" w14:textId="77777777" w:rsidR="008370D7" w:rsidRDefault="008370D7">
      <w:pPr>
        <w:pStyle w:val="Heading2"/>
        <w:rPr>
          <w:sz w:val="24"/>
          <w:szCs w:val="24"/>
        </w:rPr>
      </w:pPr>
    </w:p>
    <w:p w14:paraId="0000004D" w14:textId="77777777" w:rsidR="008370D7" w:rsidRDefault="008370D7">
      <w:pPr>
        <w:pStyle w:val="Heading2"/>
        <w:rPr>
          <w:sz w:val="24"/>
          <w:szCs w:val="24"/>
        </w:rPr>
      </w:pPr>
    </w:p>
    <w:p w14:paraId="0000004E" w14:textId="77777777" w:rsidR="008370D7" w:rsidRDefault="008370D7">
      <w:pPr>
        <w:pStyle w:val="Heading2"/>
        <w:rPr>
          <w:sz w:val="24"/>
          <w:szCs w:val="24"/>
        </w:rPr>
      </w:pPr>
    </w:p>
    <w:p w14:paraId="0000004F" w14:textId="77777777" w:rsidR="008370D7" w:rsidRDefault="008370D7">
      <w:pPr>
        <w:pStyle w:val="Heading2"/>
        <w:rPr>
          <w:sz w:val="24"/>
          <w:szCs w:val="24"/>
        </w:rPr>
      </w:pPr>
    </w:p>
    <w:p w14:paraId="00000050" w14:textId="77777777" w:rsidR="008370D7" w:rsidRDefault="008370D7">
      <w:pPr>
        <w:pStyle w:val="Heading2"/>
        <w:rPr>
          <w:sz w:val="24"/>
          <w:szCs w:val="24"/>
        </w:rPr>
      </w:pPr>
    </w:p>
    <w:p w14:paraId="00000051" w14:textId="77777777" w:rsidR="008370D7" w:rsidRDefault="008370D7">
      <w:pPr>
        <w:pStyle w:val="Heading2"/>
        <w:rPr>
          <w:sz w:val="24"/>
          <w:szCs w:val="24"/>
        </w:rPr>
      </w:pPr>
    </w:p>
    <w:p w14:paraId="00000052" w14:textId="77777777" w:rsidR="008370D7" w:rsidRDefault="008370D7">
      <w:pPr>
        <w:pStyle w:val="Heading2"/>
        <w:rPr>
          <w:sz w:val="24"/>
          <w:szCs w:val="24"/>
        </w:rPr>
      </w:pPr>
    </w:p>
    <w:p w14:paraId="00000053" w14:textId="77777777" w:rsidR="008370D7" w:rsidRDefault="008370D7">
      <w:pPr>
        <w:pStyle w:val="Heading2"/>
        <w:rPr>
          <w:sz w:val="24"/>
          <w:szCs w:val="24"/>
        </w:rPr>
      </w:pPr>
    </w:p>
    <w:p w14:paraId="00000054" w14:textId="77777777" w:rsidR="008370D7" w:rsidRDefault="008370D7">
      <w:pPr>
        <w:pStyle w:val="Heading2"/>
        <w:rPr>
          <w:sz w:val="24"/>
          <w:szCs w:val="24"/>
        </w:rPr>
      </w:pPr>
    </w:p>
    <w:p w14:paraId="00000055" w14:textId="77777777" w:rsidR="008370D7" w:rsidRDefault="008370D7">
      <w:pPr>
        <w:pStyle w:val="Heading2"/>
        <w:rPr>
          <w:sz w:val="24"/>
          <w:szCs w:val="24"/>
        </w:rPr>
      </w:pPr>
    </w:p>
    <w:p w14:paraId="00000056" w14:textId="77777777" w:rsidR="008370D7" w:rsidRDefault="008370D7">
      <w:pPr>
        <w:pStyle w:val="Heading2"/>
        <w:rPr>
          <w:sz w:val="24"/>
          <w:szCs w:val="24"/>
        </w:rPr>
      </w:pPr>
    </w:p>
    <w:p w14:paraId="00000057" w14:textId="77777777" w:rsidR="008370D7" w:rsidRDefault="008370D7">
      <w:pPr>
        <w:pStyle w:val="Heading2"/>
        <w:rPr>
          <w:sz w:val="24"/>
          <w:szCs w:val="24"/>
        </w:rPr>
      </w:pPr>
    </w:p>
    <w:p w14:paraId="00000058" w14:textId="77777777" w:rsidR="008370D7" w:rsidRDefault="008370D7">
      <w:pPr>
        <w:pStyle w:val="Heading2"/>
        <w:rPr>
          <w:sz w:val="24"/>
          <w:szCs w:val="24"/>
        </w:rPr>
      </w:pPr>
    </w:p>
    <w:p w14:paraId="00000059" w14:textId="77777777" w:rsidR="008370D7" w:rsidRDefault="008370D7">
      <w:pPr>
        <w:pStyle w:val="Heading2"/>
        <w:rPr>
          <w:sz w:val="24"/>
          <w:szCs w:val="24"/>
        </w:rPr>
      </w:pPr>
    </w:p>
    <w:p w14:paraId="0000005A" w14:textId="77777777" w:rsidR="008370D7" w:rsidRDefault="008370D7">
      <w:pPr>
        <w:pStyle w:val="Heading2"/>
        <w:rPr>
          <w:sz w:val="24"/>
          <w:szCs w:val="24"/>
        </w:rPr>
      </w:pPr>
    </w:p>
    <w:p w14:paraId="0000005B" w14:textId="77777777" w:rsidR="008370D7" w:rsidRDefault="008370D7">
      <w:pPr>
        <w:pStyle w:val="Heading2"/>
        <w:rPr>
          <w:sz w:val="24"/>
          <w:szCs w:val="24"/>
        </w:rPr>
      </w:pPr>
    </w:p>
    <w:p w14:paraId="0000005C" w14:textId="77777777" w:rsidR="008370D7" w:rsidRDefault="008370D7">
      <w:pPr>
        <w:pStyle w:val="Heading2"/>
        <w:rPr>
          <w:sz w:val="24"/>
          <w:szCs w:val="24"/>
        </w:rPr>
      </w:pPr>
    </w:p>
    <w:p w14:paraId="0000005D" w14:textId="77777777" w:rsidR="008370D7" w:rsidRDefault="008370D7">
      <w:pPr>
        <w:pStyle w:val="Heading2"/>
        <w:rPr>
          <w:sz w:val="24"/>
          <w:szCs w:val="24"/>
        </w:rPr>
      </w:pPr>
    </w:p>
    <w:p w14:paraId="5B23C5E4" w14:textId="77777777" w:rsidR="00BB03D3" w:rsidRPr="00BB03D3" w:rsidRDefault="00BB03D3" w:rsidP="00BB03D3"/>
    <w:p w14:paraId="0000005E" w14:textId="77777777" w:rsidR="008370D7" w:rsidRDefault="00000000">
      <w:pPr>
        <w:pStyle w:val="Heading2"/>
        <w:rPr>
          <w:sz w:val="24"/>
          <w:szCs w:val="24"/>
        </w:rPr>
      </w:pPr>
      <w:r>
        <w:rPr>
          <w:sz w:val="24"/>
          <w:szCs w:val="24"/>
        </w:rPr>
        <w:lastRenderedPageBreak/>
        <w:t>IV. Safety Monitoring &amp; Mandatory Stopping Criteria</w:t>
      </w:r>
    </w:p>
    <w:p w14:paraId="0000005F" w14:textId="77777777" w:rsidR="008370D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Metabolic Panels:</w:t>
      </w:r>
      <w:r>
        <w:t xml:space="preserve"> Serum electrolytes ($Na^+$, $K^+$, $Cl^-$, $HCO_3^-$) are monitored bi-weekly. If $HCO_3^-$ exceeds 32 </w:t>
      </w:r>
      <w:proofErr w:type="spellStart"/>
      <w:r>
        <w:t>mEq</w:t>
      </w:r>
      <w:proofErr w:type="spellEnd"/>
      <w:r>
        <w:t>/L, reduce the dose.</w:t>
      </w:r>
    </w:p>
    <w:p w14:paraId="00000060" w14:textId="77777777" w:rsidR="008370D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Urinary Monitoring:</w:t>
      </w:r>
      <w:r>
        <w:t xml:space="preserve"> Monthly urinalysis is required. If calcium phosphate crystals form, adjust pH target to 7.5.</w:t>
      </w:r>
    </w:p>
    <w:p w14:paraId="00000061" w14:textId="77777777" w:rsidR="008370D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Hepatic Monitoring:</w:t>
      </w:r>
      <w:r>
        <w:t xml:space="preserve"> Monthly AST/ALT monitoring is required. If liver enzymes exceed $\</w:t>
      </w:r>
      <w:proofErr w:type="spellStart"/>
      <w:r>
        <w:t>geq</w:t>
      </w:r>
      <w:proofErr w:type="spellEnd"/>
      <w:r>
        <w:t xml:space="preserve"> 2\times$ the ULN, discontinue MusKT.</w:t>
      </w:r>
    </w:p>
    <w:p w14:paraId="00000062" w14:textId="77777777" w:rsidR="008370D7" w:rsidRDefault="008370D7">
      <w:pPr>
        <w:pStyle w:val="Heading2"/>
        <w:spacing w:after="240"/>
        <w:rPr>
          <w:sz w:val="24"/>
          <w:szCs w:val="24"/>
        </w:rPr>
      </w:pPr>
    </w:p>
    <w:p w14:paraId="00000063" w14:textId="77777777" w:rsidR="008370D7" w:rsidRDefault="008370D7">
      <w:pPr>
        <w:pStyle w:val="Heading2"/>
        <w:spacing w:after="240"/>
        <w:rPr>
          <w:sz w:val="24"/>
          <w:szCs w:val="24"/>
        </w:rPr>
      </w:pPr>
    </w:p>
    <w:p w14:paraId="00000064" w14:textId="77777777" w:rsidR="008370D7" w:rsidRDefault="008370D7">
      <w:pPr>
        <w:pStyle w:val="Heading2"/>
        <w:spacing w:after="240"/>
        <w:rPr>
          <w:sz w:val="24"/>
          <w:szCs w:val="24"/>
        </w:rPr>
      </w:pPr>
    </w:p>
    <w:p w14:paraId="00000065" w14:textId="77777777" w:rsidR="008370D7" w:rsidRDefault="008370D7">
      <w:pPr>
        <w:pStyle w:val="Heading2"/>
        <w:spacing w:after="240"/>
        <w:rPr>
          <w:sz w:val="24"/>
          <w:szCs w:val="24"/>
        </w:rPr>
      </w:pPr>
    </w:p>
    <w:p w14:paraId="00000066" w14:textId="77777777" w:rsidR="008370D7" w:rsidRDefault="008370D7">
      <w:pPr>
        <w:pStyle w:val="Heading2"/>
        <w:spacing w:after="240"/>
        <w:rPr>
          <w:sz w:val="24"/>
          <w:szCs w:val="24"/>
        </w:rPr>
      </w:pPr>
    </w:p>
    <w:p w14:paraId="00000067" w14:textId="77777777" w:rsidR="008370D7" w:rsidRDefault="008370D7">
      <w:pPr>
        <w:pStyle w:val="Heading2"/>
        <w:spacing w:after="240"/>
        <w:rPr>
          <w:sz w:val="24"/>
          <w:szCs w:val="24"/>
        </w:rPr>
      </w:pPr>
    </w:p>
    <w:p w14:paraId="00000068" w14:textId="77777777" w:rsidR="008370D7" w:rsidRDefault="008370D7">
      <w:pPr>
        <w:pStyle w:val="Heading2"/>
        <w:spacing w:after="240"/>
        <w:rPr>
          <w:sz w:val="24"/>
          <w:szCs w:val="24"/>
        </w:rPr>
      </w:pPr>
    </w:p>
    <w:p w14:paraId="00000069" w14:textId="77777777" w:rsidR="008370D7" w:rsidRDefault="008370D7">
      <w:pPr>
        <w:pStyle w:val="Heading2"/>
        <w:spacing w:after="240"/>
        <w:rPr>
          <w:sz w:val="24"/>
          <w:szCs w:val="24"/>
        </w:rPr>
      </w:pPr>
    </w:p>
    <w:p w14:paraId="0000006A" w14:textId="77777777" w:rsidR="008370D7" w:rsidRDefault="008370D7">
      <w:pPr>
        <w:pStyle w:val="Heading2"/>
        <w:spacing w:after="240"/>
        <w:rPr>
          <w:sz w:val="24"/>
          <w:szCs w:val="24"/>
        </w:rPr>
      </w:pPr>
    </w:p>
    <w:p w14:paraId="0000006B" w14:textId="77777777" w:rsidR="008370D7" w:rsidRDefault="008370D7">
      <w:pPr>
        <w:pStyle w:val="Heading2"/>
        <w:spacing w:after="240"/>
        <w:rPr>
          <w:sz w:val="24"/>
          <w:szCs w:val="24"/>
        </w:rPr>
      </w:pPr>
    </w:p>
    <w:p w14:paraId="0000006C" w14:textId="77777777" w:rsidR="008370D7" w:rsidRDefault="008370D7">
      <w:pPr>
        <w:pStyle w:val="Heading2"/>
        <w:spacing w:after="240"/>
        <w:rPr>
          <w:sz w:val="24"/>
          <w:szCs w:val="24"/>
        </w:rPr>
      </w:pPr>
    </w:p>
    <w:p w14:paraId="0000006D" w14:textId="77777777" w:rsidR="008370D7" w:rsidRDefault="008370D7">
      <w:pPr>
        <w:pStyle w:val="Heading2"/>
        <w:spacing w:after="240"/>
        <w:rPr>
          <w:sz w:val="24"/>
          <w:szCs w:val="24"/>
        </w:rPr>
      </w:pPr>
    </w:p>
    <w:p w14:paraId="0000006E" w14:textId="77777777" w:rsidR="008370D7" w:rsidRDefault="008370D7">
      <w:pPr>
        <w:pStyle w:val="Heading2"/>
        <w:spacing w:after="240"/>
        <w:rPr>
          <w:sz w:val="24"/>
          <w:szCs w:val="24"/>
        </w:rPr>
      </w:pPr>
    </w:p>
    <w:p w14:paraId="0000006F" w14:textId="77777777" w:rsidR="008370D7" w:rsidRDefault="008370D7">
      <w:pPr>
        <w:pStyle w:val="Heading2"/>
        <w:spacing w:after="240"/>
        <w:rPr>
          <w:sz w:val="24"/>
          <w:szCs w:val="24"/>
        </w:rPr>
      </w:pPr>
    </w:p>
    <w:p w14:paraId="00000070" w14:textId="77777777" w:rsidR="008370D7" w:rsidRDefault="008370D7">
      <w:pPr>
        <w:pStyle w:val="Heading2"/>
        <w:spacing w:after="240"/>
        <w:rPr>
          <w:sz w:val="24"/>
          <w:szCs w:val="24"/>
        </w:rPr>
      </w:pPr>
    </w:p>
    <w:p w14:paraId="00000071" w14:textId="77777777" w:rsidR="008370D7" w:rsidRDefault="008370D7">
      <w:pPr>
        <w:pStyle w:val="Heading2"/>
        <w:spacing w:after="240"/>
        <w:rPr>
          <w:sz w:val="24"/>
          <w:szCs w:val="24"/>
        </w:rPr>
      </w:pPr>
    </w:p>
    <w:p w14:paraId="00000072" w14:textId="77777777" w:rsidR="008370D7" w:rsidRDefault="008370D7">
      <w:pPr>
        <w:pStyle w:val="Heading2"/>
        <w:spacing w:after="240"/>
        <w:rPr>
          <w:sz w:val="24"/>
          <w:szCs w:val="24"/>
        </w:rPr>
      </w:pPr>
    </w:p>
    <w:p w14:paraId="00000073" w14:textId="77777777" w:rsidR="008370D7" w:rsidRDefault="008370D7">
      <w:pPr>
        <w:pStyle w:val="Heading2"/>
        <w:spacing w:after="240"/>
        <w:rPr>
          <w:sz w:val="24"/>
          <w:szCs w:val="24"/>
        </w:rPr>
      </w:pPr>
    </w:p>
    <w:p w14:paraId="00000074" w14:textId="77777777" w:rsidR="008370D7" w:rsidRDefault="008370D7">
      <w:pPr>
        <w:pStyle w:val="Heading2"/>
        <w:spacing w:after="240"/>
        <w:rPr>
          <w:sz w:val="24"/>
          <w:szCs w:val="24"/>
        </w:rPr>
      </w:pPr>
    </w:p>
    <w:p w14:paraId="00000075" w14:textId="77777777" w:rsidR="008370D7" w:rsidRDefault="008370D7">
      <w:pPr>
        <w:pStyle w:val="Heading2"/>
        <w:spacing w:after="240"/>
        <w:rPr>
          <w:sz w:val="24"/>
          <w:szCs w:val="24"/>
        </w:rPr>
      </w:pPr>
    </w:p>
    <w:p w14:paraId="688A7098" w14:textId="77777777" w:rsidR="00BB03D3" w:rsidRPr="00BB03D3" w:rsidRDefault="00BB03D3" w:rsidP="00BB03D3"/>
    <w:p w14:paraId="00000076" w14:textId="77777777" w:rsidR="008370D7" w:rsidRDefault="00000000">
      <w:pPr>
        <w:pStyle w:val="Heading2"/>
        <w:spacing w:after="240"/>
        <w:rPr>
          <w:sz w:val="24"/>
          <w:szCs w:val="24"/>
        </w:rPr>
      </w:pPr>
      <w:bookmarkStart w:id="0" w:name="_rqcj2tyhp54q" w:colFirst="0" w:colLast="0"/>
      <w:bookmarkEnd w:id="0"/>
      <w:r>
        <w:rPr>
          <w:sz w:val="24"/>
          <w:szCs w:val="24"/>
        </w:rPr>
        <w:lastRenderedPageBreak/>
        <w:t>V. Verification of Coverage and Consent Acknowledgement</w:t>
      </w:r>
    </w:p>
    <w:p w14:paraId="00000077" w14:textId="77777777" w:rsidR="008370D7" w:rsidRDefault="00000000">
      <w:pPr>
        <w:spacing w:after="240"/>
      </w:pPr>
      <w:r>
        <w:t>The patient’s insurance carrier has updated its structural billing approval to cover all laboratory diagnostics, clinic visits, and raw material sourcing required by this high-dose, 6-month regimen. Participation remains entirely voluntary, and the patient may withdraw consent to target this aggressive endpoint at any phase of treatment.</w:t>
      </w:r>
    </w:p>
    <w:p w14:paraId="00000078" w14:textId="77777777" w:rsidR="008370D7" w:rsidRDefault="008370D7">
      <w:pPr>
        <w:spacing w:before="240" w:after="240"/>
        <w:ind w:left="240" w:right="240"/>
      </w:pPr>
    </w:p>
    <w:p w14:paraId="00000079" w14:textId="77777777" w:rsidR="008370D7" w:rsidRDefault="00000000">
      <w:pPr>
        <w:ind w:left="240" w:right="240"/>
        <w:rPr>
          <w:rFonts w:ascii="Courier" w:eastAsia="Courier" w:hAnsi="Courier" w:cs="Courier"/>
          <w:shd w:val="clear" w:color="auto" w:fill="F4F6F7"/>
        </w:rPr>
      </w:pPr>
      <w:r>
        <w:rPr>
          <w:rFonts w:ascii="Courier" w:eastAsia="Courier" w:hAnsi="Courier" w:cs="Courier"/>
          <w:shd w:val="clear" w:color="auto" w:fill="F4F6F7"/>
        </w:rPr>
        <w:t>________________________________________          __________________</w:t>
      </w:r>
      <w:r>
        <w:rPr>
          <w:rFonts w:ascii="Courier" w:eastAsia="Courier" w:hAnsi="Courier" w:cs="Courier"/>
          <w:shd w:val="clear" w:color="auto" w:fill="F4F6F7"/>
        </w:rPr>
        <w:br/>
        <w:t>Patient Signature                                 Date</w:t>
      </w:r>
      <w:r>
        <w:rPr>
          <w:rFonts w:ascii="Courier" w:eastAsia="Courier" w:hAnsi="Courier" w:cs="Courier"/>
          <w:shd w:val="clear" w:color="auto" w:fill="F4F6F7"/>
        </w:rPr>
        <w:br/>
      </w:r>
      <w:r>
        <w:rPr>
          <w:rFonts w:ascii="Courier" w:eastAsia="Courier" w:hAnsi="Courier" w:cs="Courier"/>
          <w:shd w:val="clear" w:color="auto" w:fill="F4F6F7"/>
        </w:rPr>
        <w:br/>
        <w:t>________________________________________          __________________</w:t>
      </w:r>
      <w:r>
        <w:rPr>
          <w:rFonts w:ascii="Courier" w:eastAsia="Courier" w:hAnsi="Courier" w:cs="Courier"/>
          <w:shd w:val="clear" w:color="auto" w:fill="F4F6F7"/>
        </w:rPr>
        <w:br/>
        <w:t xml:space="preserve">Physician Signature (Principal </w:t>
      </w:r>
      <w:proofErr w:type="gramStart"/>
      <w:r>
        <w:rPr>
          <w:rFonts w:ascii="Courier" w:eastAsia="Courier" w:hAnsi="Courier" w:cs="Courier"/>
          <w:shd w:val="clear" w:color="auto" w:fill="F4F6F7"/>
        </w:rPr>
        <w:t xml:space="preserve">Investigator)   </w:t>
      </w:r>
      <w:proofErr w:type="gramEnd"/>
      <w:r>
        <w:rPr>
          <w:rFonts w:ascii="Courier" w:eastAsia="Courier" w:hAnsi="Courier" w:cs="Courier"/>
          <w:shd w:val="clear" w:color="auto" w:fill="F4F6F7"/>
        </w:rPr>
        <w:t xml:space="preserve">    Date</w:t>
      </w:r>
      <w:r>
        <w:rPr>
          <w:rFonts w:ascii="Courier" w:eastAsia="Courier" w:hAnsi="Courier" w:cs="Courier"/>
          <w:shd w:val="clear" w:color="auto" w:fill="F4F6F7"/>
        </w:rPr>
        <w:br/>
      </w:r>
    </w:p>
    <w:p w14:paraId="0000007A" w14:textId="77777777" w:rsidR="008370D7" w:rsidRDefault="00000000">
      <w:pPr>
        <w:spacing w:before="240" w:after="240"/>
      </w:pPr>
      <w:r>
        <w:pict w14:anchorId="16C2D0D8">
          <v:rect id="_x0000_i1026" style="width:0;height:1.5pt" o:hralign="center" o:hrstd="t" o:hr="t" fillcolor="#a0a0a0" stroked="f"/>
        </w:pict>
      </w:r>
    </w:p>
    <w:p w14:paraId="0000007B" w14:textId="77777777" w:rsidR="008370D7" w:rsidRDefault="008370D7">
      <w:pPr>
        <w:pBdr>
          <w:top w:val="nil"/>
          <w:left w:val="nil"/>
          <w:bottom w:val="nil"/>
          <w:right w:val="nil"/>
          <w:between w:val="nil"/>
        </w:pBdr>
        <w:spacing w:before="240" w:after="240"/>
      </w:pPr>
    </w:p>
    <w:sectPr w:rsidR="008370D7" w:rsidSect="00BB03D3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8F029" w14:textId="77777777" w:rsidR="00020BC8" w:rsidRDefault="00020BC8" w:rsidP="00BB03D3">
      <w:r>
        <w:separator/>
      </w:r>
    </w:p>
  </w:endnote>
  <w:endnote w:type="continuationSeparator" w:id="0">
    <w:p w14:paraId="636EA6B4" w14:textId="77777777" w:rsidR="00020BC8" w:rsidRDefault="00020BC8" w:rsidP="00BB03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B5DF6E3-A93F-4E8F-9BF2-3367457FB1E9}"/>
  </w:font>
  <w:font w:name="Courier">
    <w:altName w:val="Courier New"/>
    <w:panose1 w:val="020704090202050204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FCB7868-3F0A-40B5-A15A-43CF75C2991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D9CAAD8-6768-46EE-96E5-E3E42A511B8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CECE5" w14:textId="5B20FBA6" w:rsidR="00BB03D3" w:rsidRDefault="00BB03D3" w:rsidP="00BB03D3">
    <w:pPr>
      <w:pStyle w:val="Footer"/>
      <w:jc w:val="center"/>
    </w:pPr>
    <w:hyperlink r:id="rId1" w:history="1">
      <w:r w:rsidRPr="00BD5127">
        <w:rPr>
          <w:rStyle w:val="Hyperlink"/>
        </w:rPr>
        <w:t>https://healthcarelawmatters.foxrothschild.com/contact/</w:t>
      </w:r>
    </w:hyperlink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9BB9F" w14:textId="54F1CB5E" w:rsidR="00BB03D3" w:rsidRDefault="00BB03D3" w:rsidP="00BB03D3">
    <w:pPr>
      <w:pStyle w:val="Footer"/>
      <w:jc w:val="center"/>
    </w:pPr>
    <w:hyperlink r:id="rId1" w:history="1">
      <w:r w:rsidRPr="00BD5127">
        <w:rPr>
          <w:rStyle w:val="Hyperlink"/>
        </w:rPr>
        <w:t>https://www.foxrothschild.com/pharma-biotech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AAAD5" w14:textId="08C1F818" w:rsidR="00BB03D3" w:rsidRDefault="00BB03D3" w:rsidP="00BB03D3">
    <w:pPr>
      <w:pStyle w:val="Footer"/>
      <w:jc w:val="center"/>
    </w:pPr>
    <w:hyperlink r:id="rId1" w:history="1">
      <w:r w:rsidRPr="00BB03D3">
        <w:rPr>
          <w:rStyle w:val="Hyperlink"/>
        </w:rPr>
        <w:t>https://virustreatmentcenters.com/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7D041" w14:textId="77777777" w:rsidR="00020BC8" w:rsidRDefault="00020BC8" w:rsidP="00BB03D3">
      <w:r>
        <w:separator/>
      </w:r>
    </w:p>
  </w:footnote>
  <w:footnote w:type="continuationSeparator" w:id="0">
    <w:p w14:paraId="4D475249" w14:textId="77777777" w:rsidR="00020BC8" w:rsidRDefault="00020BC8" w:rsidP="00BB03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212B"/>
    <w:multiLevelType w:val="multilevel"/>
    <w:tmpl w:val="4F7CA9A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E7E2750"/>
    <w:multiLevelType w:val="multilevel"/>
    <w:tmpl w:val="9EFCB2E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7E30599"/>
    <w:multiLevelType w:val="multilevel"/>
    <w:tmpl w:val="ED183D1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8570551"/>
    <w:multiLevelType w:val="multilevel"/>
    <w:tmpl w:val="642691C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704095181">
    <w:abstractNumId w:val="1"/>
  </w:num>
  <w:num w:numId="2" w16cid:durableId="934440897">
    <w:abstractNumId w:val="2"/>
  </w:num>
  <w:num w:numId="3" w16cid:durableId="52311369">
    <w:abstractNumId w:val="0"/>
  </w:num>
  <w:num w:numId="4" w16cid:durableId="548201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0D7"/>
    <w:rsid w:val="00020BC8"/>
    <w:rsid w:val="008370D7"/>
    <w:rsid w:val="00B06442"/>
    <w:rsid w:val="00BB03D3"/>
    <w:rsid w:val="00D42057"/>
    <w:rsid w:val="00DC2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F0FDB"/>
  <w15:docId w15:val="{6A12F885-6175-4456-B680-6F0C5846B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BB03D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03D3"/>
  </w:style>
  <w:style w:type="paragraph" w:styleId="Footer">
    <w:name w:val="footer"/>
    <w:basedOn w:val="Normal"/>
    <w:link w:val="FooterChar"/>
    <w:uiPriority w:val="99"/>
    <w:unhideWhenUsed/>
    <w:rsid w:val="00BB03D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03D3"/>
  </w:style>
  <w:style w:type="character" w:styleId="Hyperlink">
    <w:name w:val="Hyperlink"/>
    <w:basedOn w:val="DefaultParagraphFont"/>
    <w:uiPriority w:val="99"/>
    <w:unhideWhenUsed/>
    <w:rsid w:val="00BB03D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03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healthcarelawmatters.foxrothschild.com/contact/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foxrothschild.com/pharma-biotech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s://virustreatmentcenter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402</Words>
  <Characters>2762</Characters>
  <Application>Microsoft Office Word</Application>
  <DocSecurity>0</DocSecurity>
  <Lines>162</Lines>
  <Paragraphs>33</Paragraphs>
  <ScaleCrop>false</ScaleCrop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Cory Hofstad</cp:lastModifiedBy>
  <cp:revision>3</cp:revision>
  <dcterms:created xsi:type="dcterms:W3CDTF">2026-07-18T03:49:00Z</dcterms:created>
  <dcterms:modified xsi:type="dcterms:W3CDTF">2026-07-18T03:49:00Z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260709a3-e76e-4d76-afc9-ebe2cb0f5160</vt:lpwstr>
  </property>
</Properties>
</file>