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1495" w:rsidRDefault="00000000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t>Institutional Review Board (IRB) Clinical Protocol Amendment</w:t>
      </w:r>
    </w:p>
    <w:p w14:paraId="00000002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Protocol Identifier:</w:t>
      </w:r>
      <w:r>
        <w:t xml:space="preserve"> Expanded Access / Single-Patient Compassionate Use Integrative Protocol</w:t>
      </w:r>
    </w:p>
    <w:p w14:paraId="00000003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Authorized Phase Duration:</w:t>
      </w:r>
      <w:r>
        <w:t xml:space="preserve"> 6 Months (Consecutive)</w:t>
      </w:r>
    </w:p>
    <w:p w14:paraId="00000004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Target Physiological Endpoint:</w:t>
      </w:r>
      <w:r>
        <w:t xml:space="preserve"> Reversal of Nutrient Deficiency &amp; Resolution of Cellular Oxidative Stress</w:t>
      </w:r>
    </w:p>
    <w:p w14:paraId="00000005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Financial Status:</w:t>
      </w:r>
      <w:r>
        <w:t xml:space="preserve"> Voluntary Enrollment; 100% Insurer Funded</w:t>
      </w:r>
    </w:p>
    <w:p w14:paraId="7431E3D5" w14:textId="77777777" w:rsidR="000F3AD5" w:rsidRDefault="00000000">
      <w:pPr>
        <w:pStyle w:val="Heading2"/>
        <w:spacing w:after="240"/>
      </w:pPr>
      <w:r>
        <w:pict w14:anchorId="0142DACC">
          <v:rect id="_x0000_i1032" style="width:0;height:1.5pt" o:hralign="center" o:bullet="t" o:hrstd="t" o:hr="t" fillcolor="#a0a0a0" stroked="f"/>
        </w:pict>
      </w:r>
    </w:p>
    <w:p w14:paraId="45D39B99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765CD45F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21530A21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7DE80E68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52BD0E66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1E1C90A6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39430018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4A13729E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760FE01D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0CD32E34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496A674B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1320A889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60009DC0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23621F6D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2306AB37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12E65D0B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5FF04CA6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00000006" w14:textId="2A8C3595" w:rsidR="00631495" w:rsidRDefault="00000000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I. Rationale &amp; Synergistic Mechanisms</w:t>
      </w:r>
    </w:p>
    <w:p w14:paraId="00000007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This clinical protocol establishes a managed, 6-month single-patient expanded access framework utilizing an organic approach to address profound systemic nutrient deficiencies and protect cellular integrity from chronic secondary metabolic degradation.</w:t>
      </w:r>
    </w:p>
    <w:p w14:paraId="00000008" w14:textId="77777777" w:rsidR="00631495" w:rsidRDefault="0063149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240" w:right="240"/>
      </w:pPr>
    </w:p>
    <w:p w14:paraId="00000009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ind w:left="240" w:right="240"/>
        <w:rPr>
          <w:rFonts w:ascii="Courier" w:eastAsia="Courier" w:hAnsi="Courier" w:cs="Courier"/>
          <w:shd w:val="clear" w:color="auto" w:fill="F4F6F7"/>
        </w:rPr>
      </w:pPr>
      <w:r>
        <w:rPr>
          <w:rFonts w:ascii="Courier" w:eastAsia="Courier" w:hAnsi="Courier" w:cs="Courier"/>
          <w:shd w:val="clear" w:color="auto" w:fill="F4F6F7"/>
        </w:rPr>
        <w:t xml:space="preserve">                      [ Initial Patient Evaluation ]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      (Severe Clinical Depletion)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                   |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+--------------------------+--------------------------+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 xml:space="preserve">         |                                                     |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v                                                     </w:t>
      </w:r>
      <w:proofErr w:type="spellStart"/>
      <w:r>
        <w:rPr>
          <w:rFonts w:ascii="Courier" w:eastAsia="Courier" w:hAnsi="Courier" w:cs="Courier"/>
          <w:shd w:val="clear" w:color="auto" w:fill="F4F6F7"/>
        </w:rPr>
        <w:t>v</w:t>
      </w:r>
      <w:proofErr w:type="spellEnd"/>
      <w:r>
        <w:rPr>
          <w:rFonts w:ascii="Courier" w:eastAsia="Courier" w:hAnsi="Courier" w:cs="Courier"/>
          <w:shd w:val="clear" w:color="auto" w:fill="F4F6F7"/>
        </w:rPr>
        <w:br/>
        <w:t>[ Primary Deficiency Pathway ]                       [ Integrative Antioxidant Support ]</w:t>
      </w:r>
      <w:r>
        <w:rPr>
          <w:rFonts w:ascii="Courier" w:eastAsia="Courier" w:hAnsi="Courier" w:cs="Courier"/>
          <w:shd w:val="clear" w:color="auto" w:fill="F4F6F7"/>
        </w:rPr>
        <w:br/>
        <w:t>(Selected USP Plant-Derived Drug)                     (MusKT 1000mg Myristica fragrans)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 xml:space="preserve">         |                                                     |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+--------------------------+--------------------------+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                   |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                   v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        [ 6-Month Monitored Lifecycle ]</w:t>
      </w:r>
      <w:r>
        <w:rPr>
          <w:rFonts w:ascii="Courier" w:eastAsia="Courier" w:hAnsi="Courier" w:cs="Courier"/>
          <w:shd w:val="clear" w:color="auto" w:fill="F4F6F7"/>
        </w:rPr>
        <w:br/>
        <w:t xml:space="preserve">             (Restored Cellular Homeostasis &amp; Lipid Control)</w:t>
      </w:r>
      <w:r>
        <w:rPr>
          <w:rFonts w:ascii="Courier" w:eastAsia="Courier" w:hAnsi="Courier" w:cs="Courier"/>
          <w:shd w:val="clear" w:color="auto" w:fill="F4F6F7"/>
        </w:rPr>
        <w:br/>
      </w:r>
    </w:p>
    <w:p w14:paraId="0000000A" w14:textId="77777777" w:rsidR="006314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Targeted Deficiency Reversal:</w:t>
      </w:r>
      <w:r>
        <w:t xml:space="preserve"> Patients suffering from advanced metabolic depletion, cachexia, or gastrointestinal malabsorption often display profound systemic nutrient deficits. Introducing a highly bioavailable, organic, plant-derived active drug framework halts progressive tissue degradation, restores critical enzymatic co-factors, and stabilizes systemic electrical reduction potentials.</w:t>
      </w:r>
    </w:p>
    <w:p w14:paraId="0000000B" w14:textId="77777777" w:rsidR="006314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Exogenous Antioxidant Defense via MusKT 1000mg:</w:t>
      </w:r>
      <w:r>
        <w:t xml:space="preserve"> </w:t>
      </w:r>
      <w:r>
        <w:rPr>
          <w:b/>
          <w:bCs/>
        </w:rPr>
        <w:t>MusKT 1000mg</w:t>
      </w:r>
      <w:r>
        <w:t xml:space="preserve"> is an unadulterated, whole-food therapeutic matrix derived via supercritical extraction of organic, USP-grade </w:t>
      </w:r>
      <w:r>
        <w:rPr>
          <w:i/>
          <w:iCs/>
        </w:rPr>
        <w:t>Myristica fragrans</w:t>
      </w:r>
      <w:r>
        <w:t xml:space="preserve"> (Nutmeg) seed. Its natural polyphenolic, terpenoid, and flavonoid constituents function as direct free-radical scavengers. Co-administration of MusKT 1000mg shields damaged cell structures from the localized reactive oxygen species (ROS) spikes that inevitably occur during rapid systemic nutritional replenishment.</w:t>
      </w:r>
    </w:p>
    <w:p w14:paraId="0000000C" w14:textId="77777777" w:rsidR="0063149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Plant-Derived Sparing Framework:</w:t>
      </w:r>
      <w:r>
        <w:t xml:space="preserve"> By relying exclusively on 100% organic, plant-derived molecular ecosystems, this framework eliminates the risks of residual processing contaminants or manufacturing impurities. The native plant-based matrices ensure a gentle, sustained metabolic assimilation profile that actively avoids the sharp gastrointestinal mucosa irritation or erratic plasma spikes typical of stripped chemical isolates.</w:t>
      </w:r>
    </w:p>
    <w:p w14:paraId="049753AC" w14:textId="77777777" w:rsidR="000F3AD5" w:rsidRDefault="00000000">
      <w:pPr>
        <w:pStyle w:val="Heading2"/>
        <w:spacing w:after="240"/>
      </w:pPr>
      <w:r>
        <w:pict w14:anchorId="1272CC6C">
          <v:rect id="_x0000_i1038" style="width:0;height:1.5pt" o:hralign="center" o:bullet="t" o:hrstd="t" o:hr="t" fillcolor="#a0a0a0" stroked="f"/>
        </w:pict>
      </w:r>
    </w:p>
    <w:p w14:paraId="49FC414F" w14:textId="77777777" w:rsidR="000F3AD5" w:rsidRDefault="000F3AD5">
      <w:pPr>
        <w:pStyle w:val="Heading2"/>
        <w:spacing w:after="240"/>
        <w:rPr>
          <w:sz w:val="30"/>
          <w:szCs w:val="30"/>
        </w:rPr>
      </w:pPr>
    </w:p>
    <w:p w14:paraId="0000000D" w14:textId="65F6D953" w:rsidR="00631495" w:rsidRDefault="00000000">
      <w:pPr>
        <w:pStyle w:val="Heading2"/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II. Mandatory Primary Deficiency Pathway Selection</w:t>
      </w:r>
    </w:p>
    <w:p w14:paraId="0000000E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The managing clinician must select and verify the specific organic, plant-derived USP-grade active therapeutic framework to serve as the core deficiency pathway for this 6-month protocol:</w:t>
      </w:r>
    </w:p>
    <w:p w14:paraId="0000000F" w14:textId="77777777" w:rsidR="006314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AlnayaSN</w:t>
      </w:r>
      <w:proofErr w:type="spellEnd"/>
      <w:r>
        <w:rPr>
          <w:b/>
          <w:bCs/>
        </w:rPr>
        <w:t>™ (Organic Nicotinic Acid / Niacin Matrix):</w:t>
      </w:r>
      <w:r>
        <w:rPr>
          <w:color w:val="000000"/>
        </w:rPr>
        <w:br/>
      </w:r>
      <w:r>
        <w:t>A 100% organic, plant-derived formulation delivering a standardized nicotinic acid matrix. Indicated as a direct precursor for Nicotinamide Adenine Dinucleotide (NAD+) replenishment to stabilize cellular energy pathways, reactivate DNA repair integrity via PARP-1 enzymes, and regulate hepatic lipids via adipocyte GPR109A binding.</w:t>
      </w:r>
    </w:p>
    <w:p w14:paraId="00000010" w14:textId="77777777" w:rsidR="0063149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TsinKX</w:t>
      </w:r>
      <w:proofErr w:type="spellEnd"/>
      <w:r>
        <w:rPr>
          <w:b/>
          <w:bCs/>
        </w:rPr>
        <w:t xml:space="preserve"> (Organic </w:t>
      </w:r>
      <w:proofErr w:type="spellStart"/>
      <w:r>
        <w:rPr>
          <w:b/>
          <w:bCs/>
        </w:rPr>
        <w:t>Zincum</w:t>
      </w:r>
      <w:proofErr w:type="spellEnd"/>
      <w:r>
        <w:rPr>
          <w:b/>
          <w:bCs/>
        </w:rPr>
        <w:t xml:space="preserve"> Gluconate Matrix):</w:t>
      </w:r>
      <w:r>
        <w:rPr>
          <w:color w:val="000000"/>
        </w:rPr>
        <w:br/>
      </w:r>
      <w:r>
        <w:t xml:space="preserve">A 100% organic, plant-derived USP-grade </w:t>
      </w:r>
      <w:proofErr w:type="spellStart"/>
      <w:r>
        <w:t>zincum</w:t>
      </w:r>
      <w:proofErr w:type="spellEnd"/>
      <w:r>
        <w:t xml:space="preserve"> gluconate formulation. Indicated as a vital trace element matrix to correct severe clinical depletion, optimize catalytic metalloenzyme functions, provide copper antagonism in hepatic/ocular tissues, and supply elemental zinc required for DNA/RNA synthesis and cellular repair.</w:t>
      </w:r>
    </w:p>
    <w:p w14:paraId="6F25DA3A" w14:textId="77777777" w:rsidR="000F3AD5" w:rsidRDefault="00000000">
      <w:pPr>
        <w:pStyle w:val="Heading2"/>
      </w:pPr>
      <w:r>
        <w:pict w14:anchorId="063D42C5">
          <v:rect id="_x0000_i1041" style="width:0;height:1.5pt" o:hralign="center" o:bullet="t" o:hrstd="t" o:hr="t" fillcolor="#a0a0a0" stroked="f"/>
        </w:pict>
      </w:r>
    </w:p>
    <w:p w14:paraId="2FF1A0F0" w14:textId="77777777" w:rsidR="000F3AD5" w:rsidRDefault="000F3AD5">
      <w:pPr>
        <w:pStyle w:val="Heading2"/>
        <w:rPr>
          <w:sz w:val="30"/>
          <w:szCs w:val="30"/>
        </w:rPr>
      </w:pPr>
    </w:p>
    <w:p w14:paraId="1E901A4B" w14:textId="77777777" w:rsidR="000F3AD5" w:rsidRDefault="000F3AD5">
      <w:pPr>
        <w:pStyle w:val="Heading2"/>
        <w:rPr>
          <w:sz w:val="30"/>
          <w:szCs w:val="30"/>
        </w:rPr>
      </w:pPr>
    </w:p>
    <w:p w14:paraId="49555EEE" w14:textId="77777777" w:rsidR="000F3AD5" w:rsidRDefault="000F3AD5">
      <w:pPr>
        <w:pStyle w:val="Heading2"/>
        <w:rPr>
          <w:sz w:val="30"/>
          <w:szCs w:val="30"/>
        </w:rPr>
      </w:pPr>
    </w:p>
    <w:p w14:paraId="6C021A8A" w14:textId="77777777" w:rsidR="000F3AD5" w:rsidRDefault="000F3AD5">
      <w:pPr>
        <w:pStyle w:val="Heading2"/>
        <w:rPr>
          <w:sz w:val="30"/>
          <w:szCs w:val="30"/>
        </w:rPr>
      </w:pPr>
    </w:p>
    <w:p w14:paraId="33A3FBCA" w14:textId="77777777" w:rsidR="000F3AD5" w:rsidRDefault="000F3AD5">
      <w:pPr>
        <w:pStyle w:val="Heading2"/>
        <w:rPr>
          <w:sz w:val="30"/>
          <w:szCs w:val="30"/>
        </w:rPr>
      </w:pPr>
    </w:p>
    <w:p w14:paraId="3DF07A57" w14:textId="77777777" w:rsidR="000F3AD5" w:rsidRDefault="000F3AD5">
      <w:pPr>
        <w:pStyle w:val="Heading2"/>
        <w:rPr>
          <w:sz w:val="30"/>
          <w:szCs w:val="30"/>
        </w:rPr>
      </w:pPr>
    </w:p>
    <w:p w14:paraId="7E247C0E" w14:textId="77777777" w:rsidR="000F3AD5" w:rsidRDefault="000F3AD5">
      <w:pPr>
        <w:pStyle w:val="Heading2"/>
        <w:rPr>
          <w:sz w:val="30"/>
          <w:szCs w:val="30"/>
        </w:rPr>
      </w:pPr>
    </w:p>
    <w:p w14:paraId="2B7879D6" w14:textId="77777777" w:rsidR="000F3AD5" w:rsidRDefault="000F3AD5">
      <w:pPr>
        <w:pStyle w:val="Heading2"/>
        <w:rPr>
          <w:sz w:val="30"/>
          <w:szCs w:val="30"/>
        </w:rPr>
      </w:pPr>
    </w:p>
    <w:p w14:paraId="7C26499F" w14:textId="77777777" w:rsidR="000F3AD5" w:rsidRDefault="000F3AD5">
      <w:pPr>
        <w:pStyle w:val="Heading2"/>
        <w:rPr>
          <w:sz w:val="30"/>
          <w:szCs w:val="30"/>
        </w:rPr>
      </w:pPr>
    </w:p>
    <w:p w14:paraId="22603E59" w14:textId="77777777" w:rsidR="000F3AD5" w:rsidRDefault="000F3AD5">
      <w:pPr>
        <w:pStyle w:val="Heading2"/>
        <w:rPr>
          <w:sz w:val="30"/>
          <w:szCs w:val="30"/>
        </w:rPr>
      </w:pPr>
    </w:p>
    <w:p w14:paraId="1EA6E5DD" w14:textId="77777777" w:rsidR="000F3AD5" w:rsidRDefault="000F3AD5">
      <w:pPr>
        <w:pStyle w:val="Heading2"/>
        <w:rPr>
          <w:sz w:val="30"/>
          <w:szCs w:val="30"/>
        </w:rPr>
      </w:pPr>
    </w:p>
    <w:p w14:paraId="6EB878ED" w14:textId="77777777" w:rsidR="000F3AD5" w:rsidRDefault="000F3AD5">
      <w:pPr>
        <w:pStyle w:val="Heading2"/>
        <w:rPr>
          <w:sz w:val="30"/>
          <w:szCs w:val="30"/>
        </w:rPr>
      </w:pPr>
    </w:p>
    <w:p w14:paraId="558535E4" w14:textId="77777777" w:rsidR="000F3AD5" w:rsidRDefault="000F3AD5">
      <w:pPr>
        <w:pStyle w:val="Heading2"/>
        <w:rPr>
          <w:sz w:val="30"/>
          <w:szCs w:val="30"/>
        </w:rPr>
      </w:pPr>
    </w:p>
    <w:p w14:paraId="7EE39EC8" w14:textId="77777777" w:rsidR="000F3AD5" w:rsidRDefault="000F3AD5">
      <w:pPr>
        <w:pStyle w:val="Heading2"/>
        <w:rPr>
          <w:sz w:val="30"/>
          <w:szCs w:val="30"/>
        </w:rPr>
      </w:pPr>
    </w:p>
    <w:p w14:paraId="00000011" w14:textId="727147FD" w:rsidR="00631495" w:rsidRDefault="00000000">
      <w:pPr>
        <w:pStyle w:val="Heading2"/>
        <w:rPr>
          <w:sz w:val="30"/>
          <w:szCs w:val="30"/>
        </w:rPr>
      </w:pPr>
      <w:r>
        <w:rPr>
          <w:sz w:val="30"/>
          <w:szCs w:val="30"/>
        </w:rPr>
        <w:lastRenderedPageBreak/>
        <w:t>III. Standardized Clinical Protocol &amp; Administration</w:t>
      </w:r>
    </w:p>
    <w:p w14:paraId="00000012" w14:textId="77777777" w:rsidR="00631495" w:rsidRDefault="0063149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240" w:right="240"/>
        <w:rPr>
          <w:b/>
          <w:bCs/>
          <w:sz w:val="30"/>
          <w:szCs w:val="30"/>
        </w:rPr>
      </w:pPr>
    </w:p>
    <w:p w14:paraId="00000013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ind w:left="240" w:right="240"/>
        <w:rPr>
          <w:rFonts w:ascii="Courier" w:eastAsia="Courier" w:hAnsi="Courier" w:cs="Courier"/>
          <w:shd w:val="clear" w:color="auto" w:fill="F4F6F7"/>
        </w:rPr>
      </w:pPr>
      <w:r>
        <w:rPr>
          <w:rFonts w:ascii="Courier" w:eastAsia="Courier" w:hAnsi="Courier" w:cs="Courier"/>
          <w:shd w:val="clear" w:color="auto" w:fill="F4F6F7"/>
        </w:rPr>
        <w:t>+==============================+========================+==========================================+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>| Botanical Matrix Component   | Unit Standardization   | 24-Hour Administration Schedule          |</w:t>
      </w:r>
      <w:r>
        <w:rPr>
          <w:rFonts w:ascii="Courier" w:eastAsia="Courier" w:hAnsi="Courier" w:cs="Courier"/>
          <w:shd w:val="clear" w:color="auto" w:fill="F4F6F7"/>
        </w:rPr>
        <w:br/>
        <w:t>+==============================+========================+==========================================+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>| Primary Selected Pathway     | Selected Plant-Derived | Titrated per individual clinical need     |</w:t>
      </w:r>
      <w:r>
        <w:rPr>
          <w:rFonts w:ascii="Courier" w:eastAsia="Courier" w:hAnsi="Courier" w:cs="Courier"/>
          <w:shd w:val="clear" w:color="auto" w:fill="F4F6F7"/>
        </w:rPr>
        <w:br/>
        <w:t>| (</w:t>
      </w:r>
      <w:proofErr w:type="spellStart"/>
      <w:r>
        <w:rPr>
          <w:rFonts w:ascii="Courier" w:eastAsia="Courier" w:hAnsi="Courier" w:cs="Courier"/>
          <w:shd w:val="clear" w:color="auto" w:fill="F4F6F7"/>
        </w:rPr>
        <w:t>AlnayaSN</w:t>
      </w:r>
      <w:proofErr w:type="spellEnd"/>
      <w:r>
        <w:rPr>
          <w:rFonts w:ascii="Courier" w:eastAsia="Courier" w:hAnsi="Courier" w:cs="Courier"/>
          <w:shd w:val="clear" w:color="auto" w:fill="F4F6F7"/>
        </w:rPr>
        <w:t xml:space="preserve">™ or </w:t>
      </w:r>
      <w:proofErr w:type="spellStart"/>
      <w:r>
        <w:rPr>
          <w:rFonts w:ascii="Courier" w:eastAsia="Courier" w:hAnsi="Courier" w:cs="Courier"/>
          <w:shd w:val="clear" w:color="auto" w:fill="F4F6F7"/>
        </w:rPr>
        <w:t>TsinKX</w:t>
      </w:r>
      <w:proofErr w:type="spellEnd"/>
      <w:r>
        <w:rPr>
          <w:rFonts w:ascii="Courier" w:eastAsia="Courier" w:hAnsi="Courier" w:cs="Courier"/>
          <w:shd w:val="clear" w:color="auto" w:fill="F4F6F7"/>
        </w:rPr>
        <w:t>)        | USP Drug Core          | (Refer to individual titration curve)    |</w:t>
      </w:r>
      <w:r>
        <w:rPr>
          <w:rFonts w:ascii="Courier" w:eastAsia="Courier" w:hAnsi="Courier" w:cs="Courier"/>
          <w:shd w:val="clear" w:color="auto" w:fill="F4F6F7"/>
        </w:rPr>
        <w:br/>
        <w:t>+------------------------------+------------------------+------------------------------------------+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>| MusKT (Myristica fragrans)   | 1000 mg Seed Extract   | 1 Unit Dose, 1x Daily (With AM Mix)      |</w:t>
      </w:r>
      <w:r>
        <w:rPr>
          <w:rFonts w:ascii="Courier" w:eastAsia="Courier" w:hAnsi="Courier" w:cs="Courier"/>
          <w:shd w:val="clear" w:color="auto" w:fill="F4F6F7"/>
        </w:rPr>
        <w:br/>
        <w:t>+==============================+========================+==========================================+</w:t>
      </w:r>
      <w:r>
        <w:rPr>
          <w:rFonts w:ascii="Courier" w:eastAsia="Courier" w:hAnsi="Courier" w:cs="Courier"/>
          <w:shd w:val="clear" w:color="auto" w:fill="F4F6F7"/>
        </w:rPr>
        <w:br/>
      </w:r>
    </w:p>
    <w:p w14:paraId="00000015" w14:textId="77777777" w:rsidR="006314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Administration Matrix:</w:t>
      </w:r>
      <w:r>
        <w:t xml:space="preserve"> Primary organic compounds require precise, protocol-guided titration, with the 1000 mg MusKT dose taken daily with morning nutrition.</w:t>
      </w:r>
    </w:p>
    <w:p w14:paraId="00000016" w14:textId="77777777" w:rsidR="0063149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Safety Procedures:</w:t>
      </w:r>
      <w:r>
        <w:t xml:space="preserve"> A 5-minute water rinse is required post-dose to protect dental enamel, and administration must cease if the patient develops Grade $\</w:t>
      </w:r>
      <w:proofErr w:type="spellStart"/>
      <w:r>
        <w:t>geq</w:t>
      </w:r>
      <w:proofErr w:type="spellEnd"/>
      <w:r>
        <w:t xml:space="preserve"> 2$ oral mucositis.</w:t>
      </w:r>
    </w:p>
    <w:p w14:paraId="0F947D2F" w14:textId="77777777" w:rsidR="000F3AD5" w:rsidRDefault="00000000">
      <w:pPr>
        <w:pStyle w:val="Heading2"/>
        <w:spacing w:after="240"/>
      </w:pPr>
      <w:r>
        <w:pict w14:anchorId="6F178FF9">
          <v:rect id="_x0000_i1044" style="width:0;height:1.5pt" o:hralign="center" o:bullet="t" o:hrstd="t" o:hr="t" fillcolor="#a0a0a0" stroked="f"/>
        </w:pict>
      </w:r>
    </w:p>
    <w:p w14:paraId="64C40820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36CAB23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0C1C9A8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38B6F201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7FB055FA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540A3DE5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85537B7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8557808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13E40C5C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0000018" w14:textId="31EAB30F" w:rsidR="00631495" w:rsidRDefault="00000000">
      <w:pPr>
        <w:pStyle w:val="Heading2"/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IV. Monitoring, &amp; Stopping Criteria</w:t>
      </w:r>
    </w:p>
    <w:p w14:paraId="00000019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Rigorous, 6-month, 14-day cycle monitoring of renal/serum metabolic panels is required, along with monitoring for GI/fat absorption issues (secondary steatorrhea). Liver AST/ALT tests are mandatory; sustained elevation ($\</w:t>
      </w:r>
      <w:proofErr w:type="spellStart"/>
      <w:r>
        <w:t>geq</w:t>
      </w:r>
      <w:proofErr w:type="spellEnd"/>
      <w:r>
        <w:t xml:space="preserve"> 2\times$ ULN) requires stopping MusKT.</w:t>
      </w:r>
    </w:p>
    <w:p w14:paraId="53D4820F" w14:textId="77777777" w:rsidR="000F3AD5" w:rsidRDefault="00000000">
      <w:pPr>
        <w:pStyle w:val="Heading2"/>
        <w:spacing w:after="240"/>
      </w:pPr>
      <w:r>
        <w:pict w14:anchorId="2D520513">
          <v:rect id="_x0000_i1047" style="width:0;height:1.5pt" o:hralign="center" o:bullet="t" o:hrstd="t" o:hr="t" fillcolor="#a0a0a0" stroked="f"/>
        </w:pict>
      </w:r>
    </w:p>
    <w:p w14:paraId="16BED078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E17ACA4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47555E83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70B3007C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4A0A607B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60B04A8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7358356C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2A45AFE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14933DBB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2F62855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8F22E96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528740FE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709DF923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785561F6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45AE650B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A0279CE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51C067ED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4152D257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6319823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67FEE91C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2C4122F2" w14:textId="77777777" w:rsidR="000F3AD5" w:rsidRDefault="000F3AD5">
      <w:pPr>
        <w:pStyle w:val="Heading2"/>
        <w:spacing w:after="240"/>
        <w:rPr>
          <w:sz w:val="24"/>
          <w:szCs w:val="24"/>
        </w:rPr>
      </w:pPr>
    </w:p>
    <w:p w14:paraId="0000001A" w14:textId="3941CC23" w:rsidR="00631495" w:rsidRDefault="00000000">
      <w:pPr>
        <w:pStyle w:val="Heading2"/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V. Patient Informed Consent &amp; Authorization Signatures</w:t>
      </w:r>
    </w:p>
    <w:p w14:paraId="0000001B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I acknowledge that my participation in this integrative organic protocol is voluntary, and I am aware that my insurance carrier covers 100% of all associated drug sourcing, clinic visits, and laboratory costs for the 6-month treatment window.</w:t>
      </w:r>
    </w:p>
    <w:p w14:paraId="0000001C" w14:textId="77777777" w:rsidR="00631495" w:rsidRDefault="0063149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240" w:right="240"/>
      </w:pPr>
    </w:p>
    <w:p w14:paraId="0000001D" w14:textId="77777777" w:rsidR="00631495" w:rsidRDefault="00000000">
      <w:pPr>
        <w:pBdr>
          <w:top w:val="nil"/>
          <w:left w:val="nil"/>
          <w:bottom w:val="nil"/>
          <w:right w:val="nil"/>
          <w:between w:val="nil"/>
        </w:pBdr>
        <w:ind w:left="240" w:right="240"/>
        <w:rPr>
          <w:rFonts w:ascii="Courier" w:eastAsia="Courier" w:hAnsi="Courier" w:cs="Courier"/>
          <w:shd w:val="clear" w:color="auto" w:fill="F4F6F7"/>
        </w:rPr>
      </w:pPr>
      <w:r>
        <w:rPr>
          <w:rFonts w:ascii="Courier" w:eastAsia="Courier" w:hAnsi="Courier" w:cs="Courier"/>
          <w:shd w:val="clear" w:color="auto" w:fill="F4F6F7"/>
        </w:rPr>
        <w:t>________________________________________          __________________</w:t>
      </w:r>
      <w:r>
        <w:rPr>
          <w:rFonts w:ascii="Courier" w:eastAsia="Courier" w:hAnsi="Courier" w:cs="Courier"/>
          <w:shd w:val="clear" w:color="auto" w:fill="F4F6F7"/>
        </w:rPr>
        <w:br/>
        <w:t>Patient Signature                                 Date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>________________________________________          __________________</w:t>
      </w:r>
      <w:r>
        <w:rPr>
          <w:rFonts w:ascii="Courier" w:eastAsia="Courier" w:hAnsi="Courier" w:cs="Courier"/>
          <w:shd w:val="clear" w:color="auto" w:fill="F4F6F7"/>
        </w:rPr>
        <w:br/>
        <w:t>Physician Signature (Principal Investigator)      Date</w:t>
      </w:r>
      <w:r>
        <w:rPr>
          <w:rFonts w:ascii="Courier" w:eastAsia="Courier" w:hAnsi="Courier" w:cs="Courier"/>
          <w:shd w:val="clear" w:color="auto" w:fill="F4F6F7"/>
        </w:rPr>
        <w:br/>
      </w:r>
      <w:r>
        <w:rPr>
          <w:rFonts w:ascii="Courier" w:eastAsia="Courier" w:hAnsi="Courier" w:cs="Courier"/>
          <w:shd w:val="clear" w:color="auto" w:fill="F4F6F7"/>
        </w:rPr>
        <w:br/>
        <w:t>________________________________________          __________________</w:t>
      </w:r>
      <w:r>
        <w:rPr>
          <w:rFonts w:ascii="Courier" w:eastAsia="Courier" w:hAnsi="Courier" w:cs="Courier"/>
          <w:shd w:val="clear" w:color="auto" w:fill="F4F6F7"/>
        </w:rPr>
        <w:br/>
        <w:t>IRB Chairperson Signature                         Date</w:t>
      </w:r>
      <w:r>
        <w:rPr>
          <w:rFonts w:ascii="Courier" w:eastAsia="Courier" w:hAnsi="Courier" w:cs="Courier"/>
          <w:shd w:val="clear" w:color="auto" w:fill="F4F6F7"/>
        </w:rPr>
        <w:br/>
      </w:r>
    </w:p>
    <w:sectPr w:rsidR="00631495" w:rsidSect="006E32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A16C" w14:textId="77777777" w:rsidR="00B92252" w:rsidRDefault="00B92252" w:rsidP="006E32AC">
      <w:r>
        <w:separator/>
      </w:r>
    </w:p>
  </w:endnote>
  <w:endnote w:type="continuationSeparator" w:id="0">
    <w:p w14:paraId="2DC5490E" w14:textId="77777777" w:rsidR="00B92252" w:rsidRDefault="00B92252" w:rsidP="006E3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BBD072-A17C-430D-91E3-EC5B7EC4EAA3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964F70-745C-4410-A8D9-3EE21ABB78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6A536D-DC39-4B12-99A2-AD05C5F311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60EE" w14:textId="7429E4C9" w:rsidR="006E32AC" w:rsidRDefault="006E32AC" w:rsidP="006E32AC">
    <w:pPr>
      <w:pStyle w:val="Footer"/>
      <w:jc w:val="center"/>
    </w:pPr>
    <w:hyperlink r:id="rId1" w:history="1">
      <w:r w:rsidRPr="006E32AC">
        <w:rPr>
          <w:rStyle w:val="Hyperlink"/>
        </w:rPr>
        <w:t>https://healthcarelawmatters.foxrothschild.com/contact/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0E689" w14:textId="069BE5F0" w:rsidR="006E32AC" w:rsidRDefault="006E32AC" w:rsidP="006E32AC">
    <w:pPr>
      <w:pStyle w:val="Footer"/>
      <w:jc w:val="center"/>
    </w:pPr>
    <w:hyperlink r:id="rId1" w:history="1">
      <w:r w:rsidRPr="006E32AC">
        <w:rPr>
          <w:rStyle w:val="Hyperlink"/>
        </w:rPr>
        <w:t>https://www.foxrothschild.com/pharma-biotech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6A0E" w14:textId="24B665D0" w:rsidR="006E32AC" w:rsidRDefault="006E32AC" w:rsidP="006E32AC">
    <w:pPr>
      <w:pStyle w:val="Footer"/>
      <w:jc w:val="center"/>
    </w:pPr>
    <w:hyperlink r:id="rId1" w:history="1">
      <w:r w:rsidRPr="00BD5127">
        <w:rPr>
          <w:rStyle w:val="Hyperlink"/>
        </w:rPr>
        <w:t>https://virustreatmencenters.com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4AD0" w14:textId="77777777" w:rsidR="00B92252" w:rsidRDefault="00B92252" w:rsidP="006E32AC">
      <w:r>
        <w:separator/>
      </w:r>
    </w:p>
  </w:footnote>
  <w:footnote w:type="continuationSeparator" w:id="0">
    <w:p w14:paraId="35DEBC2F" w14:textId="77777777" w:rsidR="00B92252" w:rsidRDefault="00B92252" w:rsidP="006E3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3590" w14:textId="77777777" w:rsidR="006E32AC" w:rsidRDefault="006E3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FA75" w14:textId="77777777" w:rsidR="006E32AC" w:rsidRDefault="006E32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2C516" w14:textId="77777777" w:rsidR="006E32AC" w:rsidRDefault="006E3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9A10610"/>
    <w:multiLevelType w:val="multilevel"/>
    <w:tmpl w:val="98C678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BB2DEA"/>
    <w:multiLevelType w:val="multilevel"/>
    <w:tmpl w:val="403A85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91F6275"/>
    <w:multiLevelType w:val="multilevel"/>
    <w:tmpl w:val="B68EEE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86540894">
    <w:abstractNumId w:val="0"/>
  </w:num>
  <w:num w:numId="2" w16cid:durableId="291332137">
    <w:abstractNumId w:val="1"/>
  </w:num>
  <w:num w:numId="3" w16cid:durableId="88621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495"/>
    <w:rsid w:val="000F3AD5"/>
    <w:rsid w:val="00631495"/>
    <w:rsid w:val="006E32AC"/>
    <w:rsid w:val="00B92252"/>
    <w:rsid w:val="00DC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25F3"/>
  <w15:docId w15:val="{6A12F885-6175-4456-B680-6F0C5846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E32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2AC"/>
  </w:style>
  <w:style w:type="paragraph" w:styleId="Footer">
    <w:name w:val="footer"/>
    <w:basedOn w:val="Normal"/>
    <w:link w:val="FooterChar"/>
    <w:uiPriority w:val="99"/>
    <w:unhideWhenUsed/>
    <w:rsid w:val="006E32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2AC"/>
  </w:style>
  <w:style w:type="character" w:styleId="Hyperlink">
    <w:name w:val="Hyperlink"/>
    <w:basedOn w:val="DefaultParagraphFont"/>
    <w:uiPriority w:val="99"/>
    <w:unhideWhenUsed/>
    <w:rsid w:val="006E32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pharma-biotech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826B0-114A-41C5-ABE9-E6BB58460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715</Words>
  <Characters>5353</Characters>
  <Application>Microsoft Office Word</Application>
  <DocSecurity>0</DocSecurity>
  <Lines>148</Lines>
  <Paragraphs>31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Revolutionary Tech</dc:creator>
  <cp:lastModifiedBy>Cory Hofstad</cp:lastModifiedBy>
  <cp:revision>3</cp:revision>
  <dcterms:created xsi:type="dcterms:W3CDTF">2026-07-18T04:02:00Z</dcterms:created>
  <dcterms:modified xsi:type="dcterms:W3CDTF">2026-07-18T04:05:00Z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0c82e3d2-2da0-461f-91b4-ed5cfea6ccaf</vt:lpwstr>
  </property>
</Properties>
</file>