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Optical Spectroscopy Resonance, and Electrostatic Molecular Matching for High-Potency Cuperic Formulations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quantitative structural biophysics, molecular mycology, and remote clinical surveillance, target identification, long-range cellular drawing, and tissue-specific metabolic delivery are fundamentally governed by </w:t>
      </w:r>
      <w:r w:rsidDel="00000000" w:rsidR="00000000" w:rsidRPr="00000000">
        <w:rPr>
          <w:b w:val="1"/>
          <w:bCs w:val="1"/>
          <w:rtl w:val="0"/>
        </w:rPr>
        <w:t xml:space="preserve">electrostatic potential fields, spatial charge vectors, and dipole-dipole interactions</w:t>
      </w:r>
      <w:r w:rsidDel="00000000" w:rsidR="00000000" w:rsidRPr="00000000">
        <w:rPr>
          <w:rtl w:val="0"/>
        </w:rPr>
        <w:t xml:space="preserve"> [Gabriel, 1996; Sartori &amp; Lloyd, 2014]. High-potency prescription trace element complexes possess distinct chemical matrices that generate unique permanent or induced </w:t>
      </w:r>
      <w:r w:rsidDel="00000000" w:rsidR="00000000" w:rsidRPr="00000000">
        <w:rPr>
          <w:b w:val="1"/>
          <w:bCs w:val="1"/>
          <w:rtl w:val="0"/>
        </w:rPr>
        <w:t xml:space="preserve">dipole moments ($\boldsymbol{\mu}$)</w:t>
      </w:r>
      <w:r w:rsidDel="00000000" w:rsidR="00000000" w:rsidRPr="00000000">
        <w:rPr>
          <w:rtl w:val="0"/>
        </w:rPr>
        <w:t xml:space="preserve">, establishing a localized dielectric field length that interfaces with the complex relative permittivity ($\varepsilon_r$) of visceral human organs, fluid transport vectors, and pathogenic fungal cell walls [Al-Adami &amp; Ibrahim, 2025; Gabriel et al.,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tracking how the body processes an unadulterated, prescription-grade trace element core—specifically </w:t>
      </w:r>
      <w:r w:rsidDel="00000000" w:rsidR="00000000" w:rsidRPr="00000000">
        <w:rPr>
          <w:b w:val="1"/>
          <w:bCs w:val="1"/>
          <w:rtl w:val="0"/>
        </w:rPr>
        <w:t xml:space="preserve">NaxaAS-6mg (Standardized Cuperic Matrix)</w:t>
      </w:r>
      <w:r w:rsidDel="00000000" w:rsidR="00000000" w:rsidRPr="00000000">
        <w:rPr>
          <w:rtl w:val="0"/>
        </w:rPr>
        <w:t xml:space="preserve">—under specialized institutional review protocols to resolve medically diagnosed copper deficiency, chronic bone loss, and deep cellular fungal infiltration, computational design models calculate these interactions using discrete spatial geometries and electromagnetic field constants [VirusTC, 2026a].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Spatial Field Lengths, Quantum Radii, and Dipole Vectors of the Cuperic Lattice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molecule's permanent dipole moment functions as a clear spatial vector pointing from the center of positive charge to the center of negative charge. This spatial separation defines the electrostatic field length ($r$):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$$\boldsymbol{\mu} = \sum_{i} q_i \cdot \mathbf{r}_i$$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mapped to a specific coordinate, and $\mathbf{r}_i$ is the individual position vector derived from the element’s atomic radius and bond lengths recorded in the collaborative </w:t>
      </w:r>
      <w:r w:rsidDel="00000000" w:rsidR="00000000" w:rsidRPr="00000000">
        <w:rPr>
          <w:b w:val="1"/>
          <w:bCs w:val="1"/>
          <w:rtl w:val="0"/>
        </w:rPr>
        <w:t xml:space="preserve">Master P-Table dataset</w:t>
      </w:r>
      <w:r w:rsidDel="00000000" w:rsidR="00000000" w:rsidRPr="00000000">
        <w:rPr>
          <w:rtl w:val="0"/>
        </w:rPr>
        <w:t xml:space="preserve"> [VirusTC, 2026c].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NaxaAS-6mg Cuperic Cleavage ]</w:t>
        <w:br w:type="textWrapping"/>
        <w:t xml:space="preserve">               │</w:t>
        <w:br w:type="textWrapping"/>
        <w:t xml:space="preserve">               ▼ (Contact Dissociation in Extracellular Fluid)</w:t>
        <w:br w:type="textWrapping"/>
        <w:t xml:space="preserve">  [ Free Monovalent/Divalent Ions (Cu⁺ / Cu²⁺) ] ───(Kinetic Draw)───► [ Fungal Lipopolysaccharide Shield ]</w:t>
        <w:br w:type="textWrapping"/>
        <w:t xml:space="preserve">    - Concentrated Divalent Charge Vector                              - Altered Surface Permittivity</w:t>
        <w:br w:type="textWrapping"/>
        <w:t xml:space="preserve">    - Transverse Dipole Alignment                                      - Resonant Membrane Collapse</w:t>
        <w:br w:type="textWrapping"/>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Cuperic Complex Geometry:</w:t>
      </w:r>
      <w:r w:rsidDel="00000000" w:rsidR="00000000" w:rsidRPr="00000000">
        <w:rPr>
          <w:rtl w:val="0"/>
        </w:rPr>
        <w:t xml:space="preserve"> The structural framework of the NaxaAS-6mg chelation grid leverages element-specific coordinate radii optimized by computational protein design models [VirusTC, 2026c]. The asymmetric spatial distribution between the coordinated organic ligands and the central transition metal core creates a distinct permanent dipole moment, extending its baseline structural field length across biological fluid boundaries [Sartori &amp; Lloyd, 2014].</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Divalent Copper Ion Vectors ($\text{Cu}^+$ / $\text{Cu}^{2+}$):</w:t>
      </w:r>
      <w:r w:rsidDel="00000000" w:rsidR="00000000" w:rsidRPr="00000000">
        <w:rPr>
          <w:rtl w:val="0"/>
        </w:rPr>
        <w:t xml:space="preserve"> Upon localized contact dissociation within high-permittivity visceral pipelines, the copper fraction behaves as a dense, divalent positive charge vector. Lacking a permanent dipole as a bare monatomic ion, it establishes an intense, isotropic electrostatic field that induces highly directional dipole shifts in any surrounding water molecules or biological lipid membranes it approaches, extending its kinetic draw radius [Gabriel, 1996; VirusTC, 2026a].</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Multi-Frequency Dielectric and Conductivity Visceral Matrix</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how systemic cuperic fluxes migrate between metabolic processing hubs, hematological roots, and central nervous tracts without causing toxicity, clinicians track the exact electromagnetic limits of human organ systems. </w:t>
      </w:r>
      <w:r w:rsidDel="00000000" w:rsidR="00000000" w:rsidRPr="00000000">
        <w:rPr>
          <w:b w:val="1"/>
          <w:bCs w:val="1"/>
          <w:rtl w:val="0"/>
        </w:rPr>
        <w:t xml:space="preserve">Table 1</w:t>
      </w:r>
      <w:r w:rsidDel="00000000" w:rsidR="00000000" w:rsidRPr="00000000">
        <w:rPr>
          <w:rtl w:val="0"/>
        </w:rPr>
        <w:t xml:space="preserve"> outlines the baseline relative permittivity ($\varepsilon_r$) and electrical conductivity ($\sigma$) reference profiles derived from the benchmark standard </w:t>
      </w:r>
      <w:r w:rsidDel="00000000" w:rsidR="00000000" w:rsidRPr="00000000">
        <w:rPr>
          <w:b w:val="1"/>
          <w:bCs w:val="1"/>
          <w:rtl w:val="0"/>
        </w:rPr>
        <w:t xml:space="preserve">U.S. Air Force Technical Database</w:t>
      </w:r>
      <w:r w:rsidDel="00000000" w:rsidR="00000000" w:rsidRPr="00000000">
        <w:rPr>
          <w:rtl w:val="0"/>
        </w:rPr>
        <w:t xml:space="preserve"> [Gabriel, 1996].</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Anatomical Dielectric Constants ($\varepsilon_r$) and Conductivity ($\sigma$)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System / Target Barrier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Matrix Status &amp; Clinical Context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Metabolic &amp; Synthesis Hubs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Liver (Parenchymal)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1.69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site for </w:t>
            </w:r>
            <w:r w:rsidDel="00000000" w:rsidR="00000000" w:rsidRPr="00000000">
              <w:rPr>
                <w:b w:val="1"/>
                <w:bCs w:val="1"/>
                <w:vertAlign w:val="baseline"/>
                <w:rtl w:val="0"/>
              </w:rPr>
              <w:t xml:space="preserve">ceruloplasmin synthesis</w:t>
            </w:r>
            <w:r w:rsidDel="00000000" w:rsidR="00000000" w:rsidRPr="00000000">
              <w:rPr>
                <w:vertAlign w:val="baseline"/>
                <w:rtl w:val="0"/>
              </w:rPr>
              <w:t xml:space="preserve"> and copper storage tracking.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Bone (Cortical / Hard)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0.38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Mineralized lattice; targeted zone for correcting osteopenia [VirusTC, 2026a].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Cardiovascular &amp; Fluid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High-mobility pipeline transporting copper-bound proteins [Gabriel, 1996].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ionic liquid; maximum dipole polarization vehicle.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Gastrointestinal &amp; Nerve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Stomach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Heavily hydrated mucinous barrier; sensitive to unbuffered copper ions.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Nerve Trunk (Peripheral)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Axonal cable tracking zone for resolving demyelinating damage.</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tissue parameter values are derived directly from the standard calculations established by the Radiofrequency Radiation Division, Brooks Air Force Base [Gabriel, 1996].</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Optical Spectroscopy, Resonance Tuning, and Contact Disruption Kinetics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therapeutic dose of NaxaAS-6mg enters the systemic loop or interfaces with an environmental target, its delivery is directed by long-range </w:t>
      </w:r>
      <w:r w:rsidDel="00000000" w:rsidR="00000000" w:rsidRPr="00000000">
        <w:rPr>
          <w:b w:val="1"/>
          <w:bCs w:val="1"/>
          <w:rtl w:val="0"/>
        </w:rPr>
        <w:t xml:space="preserve">electrostatic kinetic draw</w:t>
      </w:r>
      <w:r w:rsidDel="00000000" w:rsidR="00000000" w:rsidRPr="00000000">
        <w:rPr>
          <w:rtl w:val="0"/>
        </w:rPr>
        <w:t xml:space="preserve"> and non-destructive </w:t>
      </w:r>
      <w:r w:rsidDel="00000000" w:rsidR="00000000" w:rsidRPr="00000000">
        <w:rPr>
          <w:b w:val="1"/>
          <w:bCs w:val="1"/>
          <w:rtl w:val="0"/>
        </w:rPr>
        <w:t xml:space="preserve">vibrational resonance tuning</w:t>
      </w:r>
      <w:r w:rsidDel="00000000" w:rsidR="00000000" w:rsidRPr="00000000">
        <w:rPr>
          <w:rtl w:val="0"/>
        </w:rPr>
        <w:t xml:space="preserve"> [Venkatesh &amp; Raghavan, 2004; VirusTC, 2026b]. The interaction energy ($V$) between the dipoles of the moving formulation ($\boldsymbol{\mu}_1$) and the target biological boundary ($\boldsymbol{\mu}_2$) operates inversely to the cube of the distance ($1/r^3$):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\boldsymbol{\mu}_1 \cdot \boldsymbol{\mu}_2 - 3(\boldsymbol{\mu}_1 \cdot \hat{\mathbf{r}})(\boldsymbol{\mu}_2 \cdot \hat{\mathbf{r}}) \right]$$</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Non-Destructive Optical Spectroscopy Mapping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Using electromagnetic wave absorption thresholds, remote diagnostic cameras track the physical characteristics and structural density profiles of targeted cellular matrices [VirusTC, 2026b]. By analyzing the vibrational and rotational kinetic energy forms within chemical bonds exposed to fixed target frequencies, resonance tuning maps changes in surface permittivity. This allows for real-time tracking of cellular degradation or deep tissue repair parameters [VirusTC, 2026b].</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Anti-Fungal Contact Killing Mechanism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tracking environmental mold, mildew, or invasive fungal structures, optical spectroscopy identifies localized deviations along the outer cell wall [VirusTC, 2026b]. The free cuperic ions ($\text{Cu}^+$ and $\text{Cu}^{2+}$) display an intense kinetic draw toward these compromised boundaries. Upon contact, the metal vectors alter local surface permittivity, unzipping lipopolysaccharide shields and forcing a sharp structural collapse [VirusTC, 2026a]:</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Membrane Destabilization:</w:t>
      </w:r>
      <w:r w:rsidDel="00000000" w:rsidR="00000000" w:rsidRPr="00000000">
        <w:rPr>
          <w:rtl w:val="0"/>
        </w:rPr>
        <w:t xml:space="preserve"> Ions displace structural calcium and magnesium from lipid heads, causing localized dielectric short circuits.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Oxidative Intoxication:</w:t>
      </w:r>
      <w:r w:rsidDel="00000000" w:rsidR="00000000" w:rsidRPr="00000000">
        <w:rPr>
          <w:rtl w:val="0"/>
        </w:rPr>
        <w:t xml:space="preserve"> The metal induces severe oxidative stress, denaturing internal protein matrices.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DNA Replication Interference:</w:t>
      </w:r>
      <w:r w:rsidDel="00000000" w:rsidR="00000000" w:rsidRPr="00000000">
        <w:rPr>
          <w:rtl w:val="0"/>
        </w:rPr>
        <w:t xml:space="preserve"> The dense charge vectors intercalate into nucleic acid chains, locking double-helix dimensions ($V \rightarrow \text{minimum}$) to completely halt spore germination [VirusTC, 2026a].</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4. Mandatory Clinical Safety and Telehealth Triage Thresholds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Zinc Supplementation Interference:</w:t>
      </w:r>
      <w:r w:rsidDel="00000000" w:rsidR="00000000" w:rsidRPr="00000000">
        <w:rPr>
          <w:rtl w:val="0"/>
        </w:rPr>
        <w:t xml:space="preserve"> High-dose supplemental zincum formulas (such as </w:t>
      </w:r>
      <w:r w:rsidDel="00000000" w:rsidR="00000000" w:rsidRPr="00000000">
        <w:rPr>
          <w:i w:val="1"/>
          <w:iCs w:val="1"/>
          <w:rtl w:val="0"/>
        </w:rPr>
        <w:t xml:space="preserve">TsinKX™</w:t>
      </w:r>
      <w:r w:rsidDel="00000000" w:rsidR="00000000" w:rsidRPr="00000000">
        <w:rPr>
          <w:rtl w:val="0"/>
        </w:rPr>
        <w:t xml:space="preserve">) actively compete for the same intestinal transport gates [VirusTC, 2026a]. Telehealth teams must implement sequential dosing timelines to prevent zinc from locking out copper absorption.</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Safe Upper Limit (UL) Cap:</w:t>
      </w:r>
      <w:r w:rsidDel="00000000" w:rsidR="00000000" w:rsidRPr="00000000">
        <w:rPr>
          <w:rtl w:val="0"/>
        </w:rPr>
        <w:t xml:space="preserve"> Total daily copper intake for adults must be strictly capped at </w:t>
      </w:r>
      <w:r w:rsidDel="00000000" w:rsidR="00000000" w:rsidRPr="00000000">
        <w:rPr>
          <w:b w:val="1"/>
          <w:bCs w:val="1"/>
          <w:rtl w:val="0"/>
        </w:rPr>
        <w:t xml:space="preserve">10 mg</w:t>
      </w:r>
      <w:r w:rsidDel="00000000" w:rsidR="00000000" w:rsidRPr="00000000">
        <w:rPr>
          <w:rtl w:val="0"/>
        </w:rPr>
        <w:t xml:space="preserve"> under direct clinical telemetry [VirusTC, 2026a]. Exceeding this boundary induces gastrointestinal erosion and elevates liver parenchyma conductivity metrics, signaling heavy-metal toxicity profiles [Gabriel, 1996; VirusTC, 2026a].</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Absolute Wilson's Disease Contraindication:</w:t>
      </w:r>
      <w:r w:rsidDel="00000000" w:rsidR="00000000" w:rsidRPr="00000000">
        <w:rPr>
          <w:rtl w:val="0"/>
        </w:rPr>
        <w:t xml:space="preserve"> Patients with diagnosed metabolic copper-hoarding disorders (e.g., Wilson's disease) are completely excluded from receiving NaxaAS-6mg protocols [VirusTC, 2026a].</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w:t>
      </w:r>
      <w:hyperlink r:id="rId6">
        <w:r w:rsidDel="00000000" w:rsidR="00000000" w:rsidRPr="00000000">
          <w:rPr>
            <w:color w:val="1155cc"/>
            <w:u w:val="single"/>
            <w:rtl w:val="0"/>
          </w:rPr>
          <w:t xml:space="preserve">nih.gov</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w:t>
      </w:r>
      <w:hyperlink r:id="rId7">
        <w:r w:rsidDel="00000000" w:rsidR="00000000" w:rsidRPr="00000000">
          <w:rPr>
            <w:color w:val="1155cc"/>
            <w:u w:val="single"/>
            <w:rtl w:val="0"/>
          </w:rPr>
          <w:t xml:space="preserve">fcc.gov</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w:t>
      </w:r>
      <w:hyperlink r:id="rId8">
        <w:r w:rsidDel="00000000" w:rsidR="00000000" w:rsidRPr="00000000">
          <w:rPr>
            <w:color w:val="1155cc"/>
            <w:u w:val="single"/>
            <w:rtl w:val="0"/>
          </w:rPr>
          <w:t xml:space="preserve">dtic.mil</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w:t>
      </w:r>
      <w:hyperlink r:id="rId9">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w:t>
      </w:r>
      <w:hyperlink r:id="rId10">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w:t>
      </w:r>
      <w:hyperlink r:id="rId11">
        <w:r w:rsidDel="00000000" w:rsidR="00000000" w:rsidRPr="00000000">
          <w:rPr>
            <w:color w:val="1155cc"/>
            <w:u w:val="single"/>
            <w:rtl w:val="0"/>
          </w:rPr>
          <w:t xml:space="preserve">fda.gov</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w:t>
      </w:r>
      <w:hyperlink r:id="rId12">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(2026a). </w:t>
      </w:r>
      <w:r w:rsidDel="00000000" w:rsidR="00000000" w:rsidRPr="00000000">
        <w:rPr>
          <w:i w:val="1"/>
          <w:iCs w:val="1"/>
          <w:rtl w:val="0"/>
        </w:rPr>
        <w:t xml:space="preserve">NaxaAS-6mg: Prescription cuperic formulation and safety archive documentation</w:t>
      </w:r>
      <w:r w:rsidDel="00000000" w:rsidR="00000000" w:rsidRPr="00000000">
        <w:rPr>
          <w:rtl w:val="0"/>
        </w:rPr>
        <w:t xml:space="preserve"> (Document ID: NX-README-2026-v1.0). GitHub Public Repository Archive. </w:t>
      </w:r>
      <w:hyperlink r:id="rId13">
        <w:r w:rsidDel="00000000" w:rsidR="00000000" w:rsidRPr="00000000">
          <w:rPr>
            <w:color w:val="1155cc"/>
            <w:u w:val="single"/>
            <w:rtl w:val="0"/>
          </w:rPr>
          <w:t xml:space="preserve">https://github.com/VirusTC/NaxaAS-6mg</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(2026b). </w:t>
      </w:r>
      <w:r w:rsidDel="00000000" w:rsidR="00000000" w:rsidRPr="00000000">
        <w:rPr>
          <w:i w:val="1"/>
          <w:iCs w:val="1"/>
          <w:rtl w:val="0"/>
        </w:rPr>
        <w:t xml:space="preserve">Exploring mold, light spectroscopy, resonance, and acetic concentration metrics</w:t>
      </w:r>
      <w:r w:rsidDel="00000000" w:rsidR="00000000" w:rsidRPr="00000000">
        <w:rPr>
          <w:rtl w:val="0"/>
        </w:rPr>
        <w:t xml:space="preserve"> (Document ID: SPEC-README-2026-v2.1). GitHub Public Repository Archive. </w:t>
      </w:r>
      <w:hyperlink r:id="rId14">
        <w:r w:rsidDel="00000000" w:rsidR="00000000" w:rsidRPr="00000000">
          <w:rPr>
            <w:color w:val="1155cc"/>
            <w:u w:val="single"/>
            <w:rtl w:val="0"/>
          </w:rPr>
          <w:t xml:space="preserve">https://github.com/VirusTC/Exploring-Mold-Light-Spectroscopy-Resonance-and-Acetic-Concentration</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(2026c). </w:t>
      </w:r>
      <w:r w:rsidDel="00000000" w:rsidR="00000000" w:rsidRPr="00000000">
        <w:rPr>
          <w:i w:val="1"/>
          <w:iCs w:val="1"/>
          <w:rtl w:val="0"/>
        </w:rPr>
        <w:t xml:space="preserve">Periodic-Table-of-Elements: BUMED / USAMRICD / University of Washington collaborative dataset documentation</w:t>
      </w:r>
      <w:r w:rsidDel="00000000" w:rsidR="00000000" w:rsidRPr="00000000">
        <w:rPr>
          <w:rtl w:val="0"/>
        </w:rPr>
        <w:t xml:space="preserve"> (Document ID: PTABLE-README-2026-v2.4). GitHub Public Repository Archive. </w:t>
      </w:r>
      <w:hyperlink r:id="rId15">
        <w:r w:rsidDel="00000000" w:rsidR="00000000" w:rsidRPr="00000000">
          <w:rPr>
            <w:color w:val="1155cc"/>
            <w:u w:val="single"/>
            <w:rtl w:val="0"/>
          </w:rPr>
          <w:t xml:space="preserve">https://github.com/VirusTC/Periodic-Table-of-Elements</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fda.gov" TargetMode="External"/><Relationship Id="rId10" Type="http://schemas.openxmlformats.org/officeDocument/2006/relationships/hyperlink" Target="http://doi.org" TargetMode="External"/><Relationship Id="rId13" Type="http://schemas.openxmlformats.org/officeDocument/2006/relationships/hyperlink" Target="https://github.com/VirusTC/NaxaAS-6mg" TargetMode="External"/><Relationship Id="rId12" Type="http://schemas.openxmlformats.org/officeDocument/2006/relationships/hyperlink" Target="http://doi.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i.org" TargetMode="External"/><Relationship Id="rId15" Type="http://schemas.openxmlformats.org/officeDocument/2006/relationships/hyperlink" Target="https://github.com/VirusTC/Periodic-Table-of-Elements" TargetMode="External"/><Relationship Id="rId14" Type="http://schemas.openxmlformats.org/officeDocument/2006/relationships/hyperlink" Target="https://github.com/VirusTC/Exploring-Mold-Light-Spectroscopy-Resonance-and-Acetic-Concentration" TargetMode="External"/><Relationship Id="rId5" Type="http://schemas.openxmlformats.org/officeDocument/2006/relationships/styles" Target="styles.xml"/><Relationship Id="rId6" Type="http://schemas.openxmlformats.org/officeDocument/2006/relationships/hyperlink" Target="http://nih.gov" TargetMode="External"/><Relationship Id="rId7" Type="http://schemas.openxmlformats.org/officeDocument/2006/relationships/hyperlink" Target="http://fcc.gov" TargetMode="External"/><Relationship Id="rId8" Type="http://schemas.openxmlformats.org/officeDocument/2006/relationships/hyperlink" Target="http://dtic.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