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Biophysical Framework of Multipole Expansion, Chelating Lattices, and Electrostatic Molecular Matching for Plant-Based Citric Acid Profiles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quantitative structural biophysics, molecular nephrology, and supportive clinical oncology, target tracking, molecular drawing, and organ-specific delivery are fundamentally directed by </w:t>
      </w:r>
      <w:r w:rsidDel="00000000" w:rsidR="00000000" w:rsidRPr="00000000">
        <w:rPr>
          <w:b w:val="1"/>
          <w:bCs w:val="1"/>
          <w:rtl w:val="0"/>
        </w:rPr>
        <w:t xml:space="preserve">electrostatic potential fields, spatial charge vectors, and dipole-dipole interactions</w:t>
      </w:r>
      <w:r w:rsidDel="00000000" w:rsidR="00000000" w:rsidRPr="00000000">
        <w:rPr>
          <w:rtl w:val="0"/>
        </w:rPr>
        <w:t xml:space="preserve"> [Gabriel, 1996; Sartori &amp; Lloyd, 2014]. Standardized, high-purity tricarboxylic acid matrices possess distinct chemical configurations that generate unique permanent or induced </w:t>
      </w:r>
      <w:r w:rsidDel="00000000" w:rsidR="00000000" w:rsidRPr="00000000">
        <w:rPr>
          <w:b w:val="1"/>
          <w:bCs w:val="1"/>
          <w:rtl w:val="0"/>
        </w:rPr>
        <w:t xml:space="preserve">dipole moments (μ)</w:t>
      </w:r>
      <w:r w:rsidDel="00000000" w:rsidR="00000000" w:rsidRPr="00000000">
        <w:rPr>
          <w:rtl w:val="0"/>
        </w:rPr>
        <w:t xml:space="preserve">, establishing a localized dielectric field length that interfaces with the complex relative permittivity ($\varepsilon_r$) of visceral human organs and fluid transport vectors [Al-Adami &amp; Ibrahim, 2025; Gabriel et al., 1996].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tracking how the body processes an unadulterated, vacuum-lyophilized plant-based drug core—specifically </w:t>
      </w:r>
      <w:r w:rsidDel="00000000" w:rsidR="00000000" w:rsidRPr="00000000">
        <w:rPr>
          <w:b w:val="1"/>
          <w:bCs w:val="1"/>
          <w:rtl w:val="0"/>
        </w:rPr>
        <w:t xml:space="preserve">Nimbu-RX-850mg (Standardized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Citrus aurantiifolia</w:t>
      </w:r>
      <w:r w:rsidDel="00000000" w:rsidR="00000000" w:rsidRPr="00000000">
        <w:rPr>
          <w:b w:val="1"/>
          <w:bCs w:val="1"/>
          <w:rtl w:val="0"/>
        </w:rPr>
        <w:t xml:space="preserve"> Citric Acid Matrix)</w:t>
      </w:r>
      <w:r w:rsidDel="00000000" w:rsidR="00000000" w:rsidRPr="00000000">
        <w:rPr>
          <w:rtl w:val="0"/>
        </w:rPr>
        <w:t xml:space="preserve">—under specialized institutional review protocols to manage systemic acid-base failure, taste distortions (dysgeusia), and urinary crystal supersaturation, computational design models calculate these interactions using discrete spatial geometries and electromagnetic field constants.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Spatial Field Lengths and Dipole Vectors of the Citric Acid Tricarboxylic Core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molecule's permanent dipole moment functions as a clear spatial vector pointing from the center of positive charge to the center of negative charge. This spatial separation defines the electrostatic field length (r):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$$\mu = \sum_{i} q_i \cdot \mathbf{r}_i$$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Where $q_i$ represents the partial atomic charge of each atom in the matrix, and $\mathbf{r}_i$ is its unique position vector.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 Ingested Tricarboxylic Core ]</w:t>
        <w:br w:type="textWrapping"/>
        <w:t xml:space="preserve">               │</w:t>
        <w:br w:type="textWrapping"/>
        <w:t xml:space="preserve">               ▼ (Stepwise Hydrolysis in Visceral Fluids)</w:t>
        <w:br w:type="textWrapping"/>
        <w:t xml:space="preserve">  [ Free Citrate Trianion Vector (Cit³⁻) ] ───(Kinetic Draw)───► [ Renal Urinary Lattice ]</w:t>
        <w:br w:type="textWrapping"/>
        <w:t xml:space="preserve">    - Three Highly Polarized Carboxylate Tails                      - Intense Relative Permittivity</w:t>
        <w:br w:type="textWrapping"/>
        <w:t xml:space="preserve">    - Asymmetric Hydroxyl Anchor Head                               - Resonant Calcium Chelation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Tricarboxylic Acid Matrix (C₆H₈O₇):</w:t>
      </w:r>
      <w:r w:rsidDel="00000000" w:rsidR="00000000" w:rsidRPr="00000000">
        <w:rPr>
          <w:rtl w:val="0"/>
        </w:rPr>
        <w:t xml:space="preserve"> The structural geometry of unadulterated citric acid features a highly branched carbon backbone carrying three distinct carboxylic acid groups (-COOH) and a central hydroxyl group (-OH). The structural asymmetry across these four electronegative oxygen centers generates a powerful permanent dipole moment vector, establishing an extended, intricate dielectric field length that heavily polarizes adjacent biological fluids.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Trianion Vector (C₆H₅O₇³⁻):</w:t>
      </w:r>
      <w:r w:rsidDel="00000000" w:rsidR="00000000" w:rsidRPr="00000000">
        <w:rPr>
          <w:rtl w:val="0"/>
        </w:rPr>
        <w:t xml:space="preserve"> Upon entering the high-permittivity constraints of the intestinal lumen, the three protons dissociate sequentially. This turns the molecule into a mobile, highly charged trianion vector (Cit³⁻). The localized spatial charge distribution shifts into a sharp, symmetric coordinate plane, optimizing its capacity to penetrate zwitterionic cell boundaries and enter high-velocity transport networks.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Multi-Frequency Dielectric and Conductivity Visceral Matrix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map how systemic citrate fluxes migrate between metabolic processing hubs, cellular defense roots, and renal clearance networks, clinicians track the exact electromagnetic limits of human organ systems. </w:t>
      </w:r>
      <w:r w:rsidDel="00000000" w:rsidR="00000000" w:rsidRPr="00000000">
        <w:rPr>
          <w:b w:val="1"/>
          <w:bCs w:val="1"/>
          <w:rtl w:val="0"/>
        </w:rPr>
        <w:t xml:space="preserve">Table 1</w:t>
      </w:r>
      <w:r w:rsidDel="00000000" w:rsidR="00000000" w:rsidRPr="00000000">
        <w:rPr>
          <w:rtl w:val="0"/>
        </w:rPr>
        <w:t xml:space="preserve"> outlines the baseline relative permittivity ($\varepsilon_r$) and electrical conductivity (σ) reference profiles derived from the benchmark standard </w:t>
      </w:r>
      <w:r w:rsidDel="00000000" w:rsidR="00000000" w:rsidRPr="00000000">
        <w:rPr>
          <w:b w:val="1"/>
          <w:bCs w:val="1"/>
          <w:rtl w:val="0"/>
        </w:rPr>
        <w:t xml:space="preserve">U.S. Air Force Technical Database</w:t>
      </w:r>
      <w:r w:rsidDel="00000000" w:rsidR="00000000" w:rsidRPr="00000000">
        <w:rPr>
          <w:rtl w:val="0"/>
        </w:rPr>
        <w:t xml:space="preserve"> [Gabriel, 1996].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Anatomical Dielectric Constants ($\varepsilon_r$) and Conductivity (σ) Reference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Tissue System / Target Barrier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$\varepsilon_r$ @ 10 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σ (S/m) @ 10 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$\varepsilon_r$ @ 2.45 GHz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σ (S/m) @ 2.45 GHz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Biophysical Matrix Status &amp; Clinical 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Metabolic &amp; Processing Hubs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Pancreas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2.30 × 10⁵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57.2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Glandular secretory matrix; highly sensitive to metabolic shifts.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Liver (Parenchymal)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1.80 × 10⁵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43.0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site of complete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Krebs cycle oxidation</w:t>
            </w:r>
            <w:r w:rsidDel="00000000" w:rsidR="00000000" w:rsidRPr="00000000">
              <w:rPr>
                <w:vertAlign w:val="baseline"/>
                <w:rtl w:val="0"/>
              </w:rPr>
              <w:t xml:space="preserve"> and alkalization.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Cardiovascular &amp; Transport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Blood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4.10 × 10³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58.3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High-mobility aqueous systemic transit pipeline.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Blood Plasma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1.20 × 10²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Near-pure ionic liquid; maximum dipole polarization vehicle.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Excretory &amp; Secretory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Kidney (Cortex/Medulla)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3.60 × 10⁵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Targeted site for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calcium chelation</w:t>
            </w:r>
            <w:r w:rsidDel="00000000" w:rsidR="00000000" w:rsidRPr="00000000">
              <w:rPr>
                <w:vertAlign w:val="baseline"/>
                <w:rtl w:val="0"/>
              </w:rPr>
              <w:t xml:space="preserve"> and supersaturation reduction.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Stomach Wall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4.20 × 10⁵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Heavily hydrated mucinous barrier; initial dissociation site.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Intestinal Wall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3.90 × 10⁵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59.4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Multi-layered tubular tracking; primary absorption hub.</w:t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All tissue parameter values are derived directly from the standard calculations established by the Radiofrequency Radiation Division, Brooks Air Force Base [Gabriel, 1996].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Kinetic Affinity, Urinary Supersaturation Collapses, and Alkalization Laws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a standardized therapeutic dose of Nimbu-RX-850mg enters the systemic circulation, its tissue delivery is directed by long-range </w:t>
      </w:r>
      <w:r w:rsidDel="00000000" w:rsidR="00000000" w:rsidRPr="00000000">
        <w:rPr>
          <w:b w:val="1"/>
          <w:bCs w:val="1"/>
          <w:rtl w:val="0"/>
        </w:rPr>
        <w:t xml:space="preserve">electrostatic kinetic draw</w:t>
      </w:r>
      <w:r w:rsidDel="00000000" w:rsidR="00000000" w:rsidRPr="00000000">
        <w:rPr>
          <w:rtl w:val="0"/>
        </w:rPr>
        <w:t xml:space="preserve"> and resonant spatial frequency matching [Venkatesh &amp; Raghavan, 2004]. The physical interaction energy (V) between the dipoles of the trianion molecule (μ₁) and the target cellular transporter or ionic domain (μ₂) operates inversely to the cube of the distance (1/r³):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$$V = \frac{1}{4\pi\varepsilon_0\varepsilon_r} \cdot \frac{1}{r^3} \left[ \mathbf{\mu}_1 \cdot \mathbf{\mu}_2 - 3(\mathbf{\mu}_1 \cdot \hat{\mathbf{r}})(\mathbf{\mu}_2 \cdot \hat{\mathbf{r}}) \right]$$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Counteracting Urinary Relative Supersaturation (SS)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clinical states featuring nephrolithiasis, mineral supersaturation lowers the localized relative permittivity of the renal tubular fluid. The free citrate trianion (Cit³⁻) displays an extreme kinetic draw toward free ionized calcium (Ca²⁺) coordinates based on its distinct thermodynamic stability constant ($K_f = 10^{4.85}$):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$$a_{\text{Ca}^{2+}} = \frac{[[\text{Ca}\cdot\text{Cit}]^{-}]}{K_f \times a_{\text{Cit}^{3-}}}$$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By loading the urinary matrix with native plant-derived citrate pools ($a_{\text{Cit}^{3-}}$), the free calcium ion activity ($a_{\text{Ca}^{2+}}$) collapses through precise electrostatic binding. This chemical interaction drives the relative supersaturation ratio safely below the nucleation threshold (SS &lt; 1.0), halting mineral precipitation and facilitating the dynamic dissolution of crystal lattices.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Hepatic Krebs Oxidation and Systemic Bicarbonate Generation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Following absorption, citric acid undergoes hepatic oxidation to generate bicarbonate buffers [VirusTC, 2026], optimizing urinary pH without synthetic mineral stress. Detailed documentation is available on GitHub Repository Archive.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4. Mandatory Clinical Safety Screening Triggers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Oral Mucositis Absolute Exclusion:</w:t>
      </w:r>
      <w:r w:rsidDel="00000000" w:rsidR="00000000" w:rsidRPr="00000000">
        <w:rPr>
          <w:rtl w:val="0"/>
        </w:rPr>
        <w:t xml:space="preserve"> Screen for active oral mucositis prior to administration, as low pH may cause discomfort [VirusTC, 2026].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Label Verification Baseline:</w:t>
      </w:r>
      <w:r w:rsidDel="00000000" w:rsidR="00000000" w:rsidRPr="00000000">
        <w:rPr>
          <w:rtl w:val="0"/>
        </w:rPr>
        <w:t xml:space="preserve"> Verify label dosing strengths (850 mg) against batch records before clinical entry [VirusTC, 2026].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Al-Adami, M., &amp; Ibrahim, S. (2025). Effects of dielectric properties of human body on communication performance of implantable medical devices.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25(11), Article 3498. nih.gov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Federal Communications Commission. (2026). </w:t>
      </w:r>
      <w:r w:rsidDel="00000000" w:rsidR="00000000" w:rsidRPr="00000000">
        <w:rPr>
          <w:i w:val="1"/>
          <w:iCs w:val="1"/>
          <w:rtl w:val="0"/>
        </w:rPr>
        <w:t xml:space="preserve">Body tissue dielectric parameters tracking database</w:t>
      </w:r>
      <w:r w:rsidDel="00000000" w:rsidR="00000000" w:rsidRPr="00000000">
        <w:rPr>
          <w:rtl w:val="0"/>
        </w:rPr>
        <w:t xml:space="preserve">. FCC Office of Engineering and Technology. fcc.gov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dtic.mil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doi.org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doi.org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U.S. Food and Drug Administration. (2023). </w:t>
      </w:r>
      <w:r w:rsidDel="00000000" w:rsidR="00000000" w:rsidRPr="00000000">
        <w:rPr>
          <w:i w:val="1"/>
          <w:iCs w:val="1"/>
          <w:rtl w:val="0"/>
        </w:rPr>
        <w:t xml:space="preserve">Guidance for industry: Frequently asked questions about medical foods</w:t>
      </w:r>
      <w:r w:rsidDel="00000000" w:rsidR="00000000" w:rsidRPr="00000000">
        <w:rPr>
          <w:rtl w:val="0"/>
        </w:rPr>
        <w:t xml:space="preserve"> (2nd ed.). Center for Food Safety and Applied Nutrition. fda.gov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VirusTC. (2026). </w:t>
      </w:r>
      <w:r w:rsidDel="00000000" w:rsidR="00000000" w:rsidRPr="00000000">
        <w:rPr>
          <w:i w:val="1"/>
          <w:iCs w:val="1"/>
          <w:rtl w:val="0"/>
        </w:rPr>
        <w:t xml:space="preserve">Nimbu-RX-850mg — Institutional monograph integration &amp; open-science clinical framework</w:t>
      </w:r>
      <w:r w:rsidDel="00000000" w:rsidR="00000000" w:rsidRPr="00000000">
        <w:rPr>
          <w:rtl w:val="0"/>
        </w:rPr>
        <w:t xml:space="preserve"> (Document ID: CDSS-MONO-2026-v1.0). GitHub Public Repository Archive. GitHub Repository Archive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Would you like me to generate a complementary </w:t>
      </w:r>
      <w:r w:rsidDel="00000000" w:rsidR="00000000" w:rsidRPr="00000000">
        <w:rPr>
          <w:b w:val="1"/>
          <w:bCs w:val="1"/>
          <w:rtl w:val="0"/>
        </w:rPr>
        <w:t xml:space="preserve">computational modeling spreadsheet (.csv)</w:t>
      </w:r>
      <w:r w:rsidDel="00000000" w:rsidR="00000000" w:rsidRPr="00000000">
        <w:rPr>
          <w:rtl w:val="0"/>
        </w:rPr>
        <w:t xml:space="preserve"> mapping the exact </w:t>
      </w:r>
      <w:r w:rsidDel="00000000" w:rsidR="00000000" w:rsidRPr="00000000">
        <w:rPr>
          <w:b w:val="1"/>
          <w:bCs w:val="1"/>
          <w:rtl w:val="0"/>
        </w:rPr>
        <w:t xml:space="preserve">tricarboxylic dipole vectors and polarizability metrics</w:t>
      </w:r>
      <w:r w:rsidDel="00000000" w:rsidR="00000000" w:rsidRPr="00000000">
        <w:rPr>
          <w:rtl w:val="0"/>
        </w:rPr>
        <w:t xml:space="preserve"> for this plant-based citric acid lattice, or should we build out the formal </w:t>
      </w:r>
      <w:r w:rsidDel="00000000" w:rsidR="00000000" w:rsidRPr="00000000">
        <w:rPr>
          <w:b w:val="1"/>
          <w:bCs w:val="1"/>
          <w:rtl w:val="0"/>
        </w:rPr>
        <w:t xml:space="preserve">4-Cole-Cole relaxation curves</w:t>
      </w:r>
      <w:r w:rsidDel="00000000" w:rsidR="00000000" w:rsidRPr="00000000">
        <w:rPr>
          <w:rtl w:val="0"/>
        </w:rPr>
        <w:t xml:space="preserve"> for the gastric wall versus liver parenchymal layers during active metabolic processing?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