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Biophysical Framework of Multipole Expansion, Multimodal Mucosal Interfacial Cleansing, and Electrostatic Molecular Matching for Colloidal Silver Irrigation Profiles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quantitative structural biophysics, advanced rhinological modeling, and clinical compliance architecture, the tracking and targeted delivery of high-concentration ionic suspensions are fundamentally governed by </w:t>
      </w:r>
      <w:r w:rsidDel="00000000" w:rsidR="00000000" w:rsidRPr="00000000">
        <w:rPr>
          <w:b w:val="1"/>
          <w:bCs w:val="1"/>
          <w:rtl w:val="0"/>
        </w:rPr>
        <w:t xml:space="preserve">electrostatic potential fields, spatial charge vectors, and dipole-dipole interactions</w:t>
      </w:r>
      <w:r w:rsidDel="00000000" w:rsidR="00000000" w:rsidRPr="00000000">
        <w:rPr>
          <w:rtl w:val="0"/>
        </w:rPr>
        <w:t xml:space="preserve"> [Gabriel, 1996; Sartori &amp; Lloyd, 2014]. Standardized, professional-grade colloidal silver complexes possess unique structural configurations that generate distinct permanent or induced </w:t>
      </w:r>
      <w:r w:rsidDel="00000000" w:rsidR="00000000" w:rsidRPr="00000000">
        <w:rPr>
          <w:b w:val="1"/>
          <w:bCs w:val="1"/>
          <w:rtl w:val="0"/>
        </w:rPr>
        <w:t xml:space="preserve">dipole moments ($\boldsymbol{\mu}$)</w:t>
      </w:r>
      <w:r w:rsidDel="00000000" w:rsidR="00000000" w:rsidRPr="00000000">
        <w:rPr>
          <w:rtl w:val="0"/>
        </w:rPr>
        <w:t xml:space="preserve">, establishing a localized dielectric field length that interfaces with the complex relative permittivity ($\varepsilon_r$) of human respiratory mucous membranes, vascular boundaries, and pathogenic cell walls [Al-Adami &amp; Ibrahim, 2025; Gabriel et al., 1996].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tracking how the body processes a high-concentration, in-clinic advanced nasal wash matrix—specifically </w:t>
      </w:r>
      <w:r w:rsidDel="00000000" w:rsidR="00000000" w:rsidRPr="00000000">
        <w:rPr>
          <w:b w:val="1"/>
          <w:bCs w:val="1"/>
          <w:rtl w:val="0"/>
        </w:rPr>
        <w:t xml:space="preserve">Head SolvX (Standardized 500 PPM to 2000 PPM Colloidal Silver Solution)</w:t>
      </w:r>
      <w:r w:rsidDel="00000000" w:rsidR="00000000" w:rsidRPr="00000000">
        <w:rPr>
          <w:rtl w:val="0"/>
        </w:rPr>
        <w:t xml:space="preserve">—under strict facility guidelines, computational design models calculate these interactions using discrete spatial geometries and electromagnetic field constants [Sartori &amp; Lloyd, 2014; VirusTC,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Spatial Field Lengths and Induced Dipole Vectors of the SolvX Hydration Shell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molecule's permanent dipole moment functions as a clear spatial vector pointing from the center of positive charge to the center of negative charge. This spatial separation defines the electrostatic field length (r):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$$\boldsymbol{\mu} = \sum_{i} q_i \cdot \mathbf{r}_i$$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$q_i$ represents the partial atomic charge mapped to a specific coordinate, and $\mathbf{r}_i$ is the individual position vector derived from the element’s atomic radius recorded in the collaborative </w:t>
      </w:r>
      <w:r w:rsidDel="00000000" w:rsidR="00000000" w:rsidRPr="00000000">
        <w:rPr>
          <w:b w:val="1"/>
          <w:bCs w:val="1"/>
          <w:rtl w:val="0"/>
        </w:rPr>
        <w:t xml:space="preserve">Master P-Table dataset</w:t>
      </w:r>
      <w:r w:rsidDel="00000000" w:rsidR="00000000" w:rsidRPr="00000000">
        <w:rPr>
          <w:rtl w:val="0"/>
        </w:rPr>
        <w:t xml:space="preserve"> [Sartori &amp; Lloyd, 2014; VirusTC, 2026].</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 Head SolvX Atomized Irrigation ]</w:t>
        <w:br w:type="textWrapping"/>
        <w:t xml:space="preserve">                 │</w:t>
        <w:br w:type="textWrapping"/>
        <w:t xml:space="preserve">                 ▼ (Mechanical Delivery into High-Permittivity Mucus)</w:t>
        <w:br w:type="textWrapping"/>
        <w:t xml:space="preserve">   [ Active Silver Ion (Ag⁺ Anion-Seeking Vector) ] ───(Kinetic Draw)───► [ Pathogenic Surface Grid ]</w:t>
        <w:br w:type="textWrapping"/>
        <w:t xml:space="preserve">     - Monovalent Positive Charge Vector                                     - Altered Surface Permittivity</w:t>
        <w:br w:type="textWrapping"/>
        <w:t xml:space="preserve">     - Transverse Dipole Polarization                                        - Multi-Target Adhesion &amp; Porosity</w:t>
        <w:br w:type="textWrapping"/>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Colloidal Silver Particle Tensors:</w:t>
      </w:r>
      <w:r w:rsidDel="00000000" w:rsidR="00000000" w:rsidRPr="00000000">
        <w:rPr>
          <w:rtl w:val="0"/>
        </w:rPr>
        <w:t xml:space="preserve"> In a pharmaceutical-grade purified water base, suspended silver particles generate a highly active, localized dielectric field layer. The spatial charge distribution across the silver-water interface creates an intense </w:t>
      </w:r>
      <w:r w:rsidDel="00000000" w:rsidR="00000000" w:rsidRPr="00000000">
        <w:rPr>
          <w:b w:val="1"/>
          <w:bCs w:val="1"/>
          <w:rtl w:val="0"/>
        </w:rPr>
        <w:t xml:space="preserve">induced polarization</w:t>
      </w:r>
      <w:r w:rsidDel="00000000" w:rsidR="00000000" w:rsidRPr="00000000">
        <w:rPr>
          <w:rtl w:val="0"/>
        </w:rPr>
        <w:t xml:space="preserve"> when it encounters the lossy dielectric properties of human tissue, extending its structural field length along a distinct coordinate plane [Gabriel, 1996; VirusTC, 2026].</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Monovalent Silver Ion Vectors (Ag⁺):</w:t>
      </w:r>
      <w:r w:rsidDel="00000000" w:rsidR="00000000" w:rsidRPr="00000000">
        <w:rPr>
          <w:rtl w:val="0"/>
        </w:rPr>
        <w:t xml:space="preserve"> Upon atomized mechanical irrigation, the silver fraction releases active Ag⁺ ions. Acting as single positive charge vectors, these ions display an intense, localized surface charge density that induces highly directional dipole shifts in any surrounding target glycoproteins or lipid bilayers it approaches, maximizing its long-range </w:t>
      </w:r>
      <w:r w:rsidDel="00000000" w:rsidR="00000000" w:rsidRPr="00000000">
        <w:rPr>
          <w:b w:val="1"/>
          <w:bCs w:val="1"/>
          <w:rtl w:val="0"/>
        </w:rPr>
        <w:t xml:space="preserve">electrostatic kinetic draw</w:t>
      </w:r>
      <w:r w:rsidDel="00000000" w:rsidR="00000000" w:rsidRPr="00000000">
        <w:rPr>
          <w:rtl w:val="0"/>
        </w:rPr>
        <w:t xml:space="preserve"> [Gabriel, 1996; VirusTC, 2026].</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Multi-Frequency Dielectric and Conductivity Nasal Mucosal Matrix</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map how atomized silver ion fluxes migrate through mucosal barrier networks during mechanical irrigation without crossing into deep systemic pathways, clinicians track the exact electromagnetic limits of human respiratory and transport structures. </w:t>
      </w:r>
      <w:r w:rsidDel="00000000" w:rsidR="00000000" w:rsidRPr="00000000">
        <w:rPr>
          <w:b w:val="1"/>
          <w:bCs w:val="1"/>
          <w:rtl w:val="0"/>
        </w:rPr>
        <w:t xml:space="preserve">Table 1</w:t>
      </w:r>
      <w:r w:rsidDel="00000000" w:rsidR="00000000" w:rsidRPr="00000000">
        <w:rPr>
          <w:rtl w:val="0"/>
        </w:rPr>
        <w:t xml:space="preserve"> outlines the baseline relative permittivity ($\varepsilon_r$) and electrical conductivity (σ) reference profiles derived from the benchmark standard </w:t>
      </w:r>
      <w:r w:rsidDel="00000000" w:rsidR="00000000" w:rsidRPr="00000000">
        <w:rPr>
          <w:b w:val="1"/>
          <w:bCs w:val="1"/>
          <w:rtl w:val="0"/>
        </w:rPr>
        <w:t xml:space="preserve">U.S. Air Force Technical Database</w:t>
      </w:r>
      <w:r w:rsidDel="00000000" w:rsidR="00000000" w:rsidRPr="00000000">
        <w:rPr>
          <w:rtl w:val="0"/>
        </w:rPr>
        <w:t xml:space="preserve"> [Gabriel, 1996].</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Table 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Anatomical Dielectric Constants ($\varepsilon_r$) and Conductivity (σ) Reference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Tissue System / Target Barrier Layer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σ (S/m)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σ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Biophysical Matrix Status &amp; Clinical Context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Nasal Mucosal Interfaces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Stomach/Mucous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62.2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High-hydration barrier layer proxy; mirrors internal nasal mucosal hydration.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Skin (Wet / Hydrated)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2.80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0.002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1.59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Epidermal outer boundary layer; variable hydration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Vascular Transit Systems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4.10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0.700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58.3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High-mobility aqueous electrolyte transport pipeline [Gabriel, 1996].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 Plasma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1.20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70.1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2.92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Near-pure ionic liquid; maximum dipole polarization vehicle.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Structural / Non-Conductive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Bone (Cortical / Hard)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4.20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0.38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Mineralized nasal turbinate/septum framework; highly restrictive dielectric.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Fat (Adipose)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2.50 × 10⁴</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Hydrophobic lipid zone; low baseline dipole tracking.</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tissue parameter values are derived directly from the standard calculations established by the Radiofrequency Radiation Division, Brooks Air Force Base [Gabriel, 1996].</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Kinetic Affinity and Multimodal Mechanical Clearance Physics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standardized professional dose of Head SolvX is delivered via mechanical lavage, its multi-target interaction path is directed by long-range electrodynamic forces and fluid pressure constants [Venkatesh &amp; Raghavan, 2004]. The interaction energy (V) between the dipoles of the moving formulation ($\boldsymbol{\mu}_1$) and the affected target cell wall ($\boldsymbol{\mu}_2$) operates inversely to the cube of the distance (1/r³):</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 \frac{1}{4\pi\varepsilon_0\varepsilon_r} \cdot \frac{1}{r^3} \left[ \boldsymbol{\mu}_1 \cdot \boldsymbol{\mu}_2 - 3(\boldsymbol{\mu}_1 \cdot \hat{\mathbf{r}})(\boldsymbol{\mu}_2 \cdot \hat{\mathbf{r}}) \right]$$</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Long-Range Target Drawing &amp; Adhesion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chronic inflammatory or congested states, the accumulation of mucus and cellular debris causes the localized relative permittivity of the mucosal lining to shift ($\varepsilon_r = 62.2$ at 2.45 GHz) [Gabriel, 1996]. This shift modifies the regional electrostatic charge density, strengthening the localized field gradient. Suspended Ag⁺ ions align with these altered fields, pulling the active solution down the kinetic gradient toward the target sites [Venkatesh &amp; Raghavan, 2004].</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B. Multimodal Contact Destruction Mechanics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close range, silver ions interact with target pathogens through mechanisms including cell wall disruption via glycoprotein binding, respiratory chain inhibition, and nucleic acid binding that halts transcription [VirusTC, 2026]. For the full mechanistic breakdown and complete parameters, please refer to the referenced repository [VirusTC, 2026].</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4. Mandatory Operational Safety Constraints and Compliance Mandates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Head SolvX is governed by strict operational protocols: it is restricted to professional in-clinic use only (never for home discharge), limited to adult applications (prohibited for infants and pediatrics), and dosed up to a maximum of 60mL per naris at concentrations between 500 PPM and 2000 PPM, without utilizing biometric or weight-based dosing calculations [VirusTC, 2026].</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24"/>
          <w:szCs w:val="24"/>
        </w:rPr>
      </w:pPr>
      <w:r w:rsidDel="00000000" w:rsidR="00000000" w:rsidRPr="00000000">
        <w:rPr>
          <w:b w:val="1"/>
          <w:bCs w:val="1"/>
          <w:i w:val="0"/>
          <w:iCs w:val="0"/>
          <w:sz w:val="24"/>
          <w:szCs w:val="24"/>
          <w:rtl w:val="0"/>
        </w:rPr>
        <w:t xml:space="preserve">Trusted Official Resources Bibliography (APA 7th Edition)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w:t>
      </w:r>
      <w:hyperlink r:id="rId6">
        <w:r w:rsidDel="00000000" w:rsidR="00000000" w:rsidRPr="00000000">
          <w:rPr>
            <w:color w:val="1155cc"/>
            <w:u w:val="single"/>
            <w:rtl w:val="0"/>
          </w:rPr>
          <w:t xml:space="preserve">nih.gov</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w:t>
      </w:r>
      <w:hyperlink r:id="rId7">
        <w:r w:rsidDel="00000000" w:rsidR="00000000" w:rsidRPr="00000000">
          <w:rPr>
            <w:color w:val="1155cc"/>
            <w:u w:val="single"/>
            <w:rtl w:val="0"/>
          </w:rPr>
          <w:t xml:space="preserve">fcc.gov</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w:t>
      </w:r>
      <w:hyperlink r:id="rId8">
        <w:r w:rsidDel="00000000" w:rsidR="00000000" w:rsidRPr="00000000">
          <w:rPr>
            <w:color w:val="1155cc"/>
            <w:u w:val="single"/>
            <w:rtl w:val="0"/>
          </w:rPr>
          <w:t xml:space="preserve">dtic.mil</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w:t>
      </w:r>
      <w:hyperlink r:id="rId9">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w:t>
      </w:r>
      <w:hyperlink r:id="rId10">
        <w:r w:rsidDel="00000000" w:rsidR="00000000" w:rsidRPr="00000000">
          <w:rPr>
            <w:color w:val="1155cc"/>
            <w:u w:val="single"/>
            <w:rtl w:val="0"/>
          </w:rPr>
          <w:t xml:space="preserve">doi.org</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w:t>
      </w:r>
      <w:hyperlink r:id="rId11">
        <w:r w:rsidDel="00000000" w:rsidR="00000000" w:rsidRPr="00000000">
          <w:rPr>
            <w:color w:val="1155cc"/>
            <w:u w:val="single"/>
            <w:rtl w:val="0"/>
          </w:rPr>
          <w:t xml:space="preserve">fda.gov</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SolvX-Rx-Multi-Complex-Irrigation-Protocol: Advanced multi-mechanism intranasal lavage guidelines and EHR compliance assets</w:t>
      </w:r>
      <w:r w:rsidDel="00000000" w:rsidR="00000000" w:rsidRPr="00000000">
        <w:rPr>
          <w:rtl w:val="0"/>
        </w:rPr>
        <w:t xml:space="preserve"> (Document ID: SOLVX-README-2026-v1.2). GitHub Public Repository Archive. </w:t>
      </w:r>
      <w:hyperlink r:id="rId12">
        <w:r w:rsidDel="00000000" w:rsidR="00000000" w:rsidRPr="00000000">
          <w:rPr>
            <w:color w:val="1155cc"/>
            <w:u w:val="single"/>
            <w:rtl w:val="0"/>
          </w:rPr>
          <w:t xml:space="preserve">https://github.com/VirusTC/SolvX-Rx-Multi-Complex-Irrigation-Protocol</w:t>
        </w:r>
      </w:hyperlink>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b w:val="1"/>
          <w:bCs w:val="1"/>
          <w:rtl w:val="0"/>
        </w:rPr>
        <w:t xml:space="preserve">MANDATORY REGULATORY DISCLAIMER:</w:t>
      </w:r>
      <w:r w:rsidDel="00000000" w:rsidR="00000000" w:rsidRPr="00000000">
        <w:rPr>
          <w:rtl w:val="0"/>
        </w:rPr>
        <w:t xml:space="preserve"> The in-clinic use of the Head SolvX protocol is strictly intended for the structural, mechanical, and functional clearing of nasal passages [VirusTC, 2026]. This document, database framework, and associated templates are built for institutional storage and are not designed to diagnose, treat, cure, or prevent any specific disease matrix [VirusTC,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fda.gov" TargetMode="External"/><Relationship Id="rId10" Type="http://schemas.openxmlformats.org/officeDocument/2006/relationships/hyperlink" Target="http://doi.org" TargetMode="External"/><Relationship Id="rId12" Type="http://schemas.openxmlformats.org/officeDocument/2006/relationships/hyperlink" Target="https://github.com/VirusTC/SolvX-Rx-Multi-Complex-Irrigation-Protocol" TargetMode="External"/><Relationship Id="rId9" Type="http://schemas.openxmlformats.org/officeDocument/2006/relationships/hyperlink" Target="http://doi.org" TargetMode="External"/><Relationship Id="rId5" Type="http://schemas.openxmlformats.org/officeDocument/2006/relationships/styles" Target="styles.xml"/><Relationship Id="rId6" Type="http://schemas.openxmlformats.org/officeDocument/2006/relationships/hyperlink" Target="http://nih.gov" TargetMode="External"/><Relationship Id="rId7" Type="http://schemas.openxmlformats.org/officeDocument/2006/relationships/hyperlink" Target="http://fcc.gov" TargetMode="External"/><Relationship Id="rId8" Type="http://schemas.openxmlformats.org/officeDocument/2006/relationships/hyperlink" Target="http://dtic.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