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Transneuronal Cable Properties, and Electrostatic Molecular Matching for Somatic Nerve Networks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neurophysics and peripheral bioelectronic modeling, signal propagation and ion channel gating throughout the extensive somatic nervous system are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The complex relative permittivity ($\varepsilon_r$) of axonal membranes and neural sheaths establishes localized electrical limits that interface directly with permanent or induced </w:t>
      </w:r>
      <w:r w:rsidDel="00000000" w:rsidR="00000000" w:rsidRPr="00000000">
        <w:rPr>
          <w:b w:val="1"/>
          <w:bCs w:val="1"/>
          <w:rtl w:val="0"/>
        </w:rPr>
        <w:t xml:space="preserve">dipole moments ($\mu$)</w:t>
      </w:r>
      <w:r w:rsidDel="00000000" w:rsidR="00000000" w:rsidRPr="00000000">
        <w:rPr>
          <w:rtl w:val="0"/>
        </w:rPr>
        <w:t xml:space="preserve"> of circulating neuroactive complexes and trace mineral vectors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trace how electrodynamic forces guide mineral ions and plant-derived compounds along macroscopic neural pathways—from cranial networks down through peripheral spinal rami—computational design models calculate these interactions using discrete spatial geometries and electromagnetic field constants [VirusTC,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Dipole Vectors of Neuronal Membrane Boundaries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spatial vector pointing from the center of positive charge to the center of negative charge. This spatial separation defines the electrostatic field length ($r$):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constituent atom, and $\mathbf{r}_i$ is its position vector.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Axonal Membrane Cross-Section ] </w:t>
        <w:br w:type="textWrapping"/>
        <w:t xml:space="preserve">  ├── Extracellular Side: Polarized Water Dipoles (εr = 70.1)</w:t>
        <w:br w:type="textWrapping"/>
        <w:t xml:space="preserve">  ├── Lipid Bilayer Core: Hydrophobic Volumetric Barrier (εr = 11.2)</w:t>
        <w:br w:type="textWrapping"/>
        <w:t xml:space="preserve">  └── Intracellular Side: Densely Infiltrated Cytosolic Ions (σ = 0.700)</w:t>
        <w:br w:type="textWrapping"/>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Phospholipid Head Group Vectors:</w:t>
      </w:r>
      <w:r w:rsidDel="00000000" w:rsidR="00000000" w:rsidRPr="00000000">
        <w:rPr>
          <w:rtl w:val="0"/>
        </w:rPr>
        <w:t xml:space="preserve"> The structural architecture of the neuronal plasma membrane is dominated by phosphatidylcholine and phosphatidylethanolamine groups. The polar zwitterionic head groups generate intense, permanent localized dipoles perpendicular to the membrane plane. This spatial configuration creates a sharp dielectric boundary layer that interfaces directly with external ionic currents.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Induced Nodal Tensors:</w:t>
      </w:r>
      <w:r w:rsidDel="00000000" w:rsidR="00000000" w:rsidRPr="00000000">
        <w:rPr>
          <w:rtl w:val="0"/>
        </w:rPr>
        <w:t xml:space="preserve"> Along myelinated peripheral nerves, localized gaps known as the Nodes of Ranvier lack insulating lipid sheets. These uninsulated regions display a concentrated distribution of voltage-gated sodium ($\text{Na}^+$) and potassium ($\text{K}^+$) channels. When an action potential arrives, it triggers intense, localized electrostatic fields that induce rapid changes in the polarizability tensor of surrounding water molecules and mobile trace mineral complexes, drawing key elemental co-factors directly into the channel gates [Gabriel, 1996; VirusTC, 2026].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Nerve Network Matrix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track how electrical current travels along nerve pathways throughout the body without losing signal integrity, clinicians map the exact electromagnetic limits of peripheral and autonomic neural structures.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($\sigma$) reference profiles derived from the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Somatic Nerve Network Dielectric Constants ($\varepsilon_r$) and Conductivity ($\sigma$)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Neural Structure / Anatomical Region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Peripheral &amp; Spinal Networks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Nerve Trunk (Peripheral)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Bundled axons; anisotropic cable propagation properties.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Spinal Cord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3.50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Central axial conduction path; high grey/white matter mix.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Autonomic &amp; Ganglionic Sites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Sympathetic Ganglia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3.10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1.65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Unmyelinated post-ganglionic matrices; active synapses.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Vagus Nerve Complex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2.80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Parasympathetic highway; mixed sensory and motor vectors.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Systemic Transit &amp;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Cerebrospinal Fluid (CSF)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1.05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High-ion aqueous medium; minimal attenuation path.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Nerve Sheath (Perineurium)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Lipophilic insulating boundary layer; lower hydration.</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calculations established by the Radiofrequency Radiation Division, Brooks Air Force Base [Gabriel, 1996].</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Transneuronal Cable Properties and Long-Range Electrostatic Draw</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trace element complexes or bioactive molecules travel systemically, their delivery to peripheral nerves is directed by long-range </w:t>
      </w:r>
      <w:r w:rsidDel="00000000" w:rsidR="00000000" w:rsidRPr="00000000">
        <w:rPr>
          <w:b w:val="1"/>
          <w:bCs w:val="1"/>
          <w:rtl w:val="0"/>
        </w:rPr>
        <w:t xml:space="preserve">electrostatic kinetic draw</w:t>
      </w:r>
      <w:r w:rsidDel="00000000" w:rsidR="00000000" w:rsidRPr="00000000">
        <w:rPr>
          <w:rtl w:val="0"/>
        </w:rPr>
        <w:t xml:space="preserve"> and cable properties [Venkatesh &amp; Raghavan, 2004]. The physical interaction energy ($V$) between the circulating compound’s dipole vector ($\mu_1$) and the axonal target matrix ($\mu_2$) operates inversely to the cube of the distance ($1/r^3$):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\mathbf{\mu}_1 \cdot \mathbf{\mu}_2 - 3(\mathbf{\mu}_1 \cdot \hat{\mathbf{r}})(\mathbf{\mu}_2 \cdot \hat{\mathbf{r}}) \right]$$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Cable Property Conduction Math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Nerves function as lossy biophysical cables. The spatial spread of an electrical wave down an axon is limited by the space constant ($\lambda$), which depends on the ratio of the internal axonal conductivity ($\sigma_{\text{int}}$) to the external membrane insulation: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$$\lambda = \sqrt{\frac{r_{\text{axoon}} \cdot \sigma_{\text{int}}}{2 \cdot \sigma_{\text{mem}}}}$$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patient experiences systemic clinical depletion or severe neuropathic stress, the membrane conductivity ($\sigma_{\text{mem}}$) increases due to localized lipid degradation or ion leakage [VirusTC, 2026]. This change shortens the space constant ($\lambda$), causing the action potential to fade prematurely along the nerve trunk.</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Resonant Kinetic Target Drawing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drop in the nerve's space constant alters the local relative permittivity ($\varepsilon_r = 32.5$ at 2.45 GHz). This shift modifies the regional electrostatic charge density, strengthening the localized field gradient. Incoming divalent mineral complexes or polarized plant isolates align with these altered spatial field lengths. They are drawn down this kinetic gradient, concentrating at the node of injury rather than dispersing randomly through non-target tissues.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C. Voltage Stabilization Across the Somatic Grid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close ranges, the spatial frequencies of the arriving complexes converge with the structural binding pockets of voltage-gated ion channels. The field forces minimize ($V \rightarrow \text{minimum}$), locking the regulatory co-factors into the channel matrix. This interaction stabilizes the baseline membrane resistance, plugs leaky ion pores, and restores normal action potential velocities across the somatic grid [VirusTC, 2026]. This physical alignment prevents random, painful firing along peripheral paths and preserves the system's structural integrity under specialized clinical frameworks [U.S. Food and Drug Administration, 2023; VirusTC, 2026].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TsinKX 100mg: Institutional product overview and master development mapping</w:t>
      </w:r>
      <w:r w:rsidDel="00000000" w:rsidR="00000000" w:rsidRPr="00000000">
        <w:rPr>
          <w:rtl w:val="0"/>
        </w:rPr>
        <w:t xml:space="preserve"> (Document ID: CL-README-2026-v1.0). Boost Software License Framework Archive. github.com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to generate a complementary </w:t>
      </w:r>
      <w:r w:rsidDel="00000000" w:rsidR="00000000" w:rsidRPr="00000000">
        <w:rPr>
          <w:b w:val="1"/>
          <w:bCs w:val="1"/>
          <w:rtl w:val="0"/>
        </w:rPr>
        <w:t xml:space="preserve">computational modeling spreadsheet (.csv)</w:t>
      </w:r>
      <w:r w:rsidDel="00000000" w:rsidR="00000000" w:rsidRPr="00000000">
        <w:rPr>
          <w:rtl w:val="0"/>
        </w:rPr>
        <w:t xml:space="preserve"> mapping the exact </w:t>
      </w:r>
      <w:r w:rsidDel="00000000" w:rsidR="00000000" w:rsidRPr="00000000">
        <w:rPr>
          <w:b w:val="1"/>
          <w:bCs w:val="1"/>
          <w:rtl w:val="0"/>
        </w:rPr>
        <w:t xml:space="preserve">dipole vectors and polarizability metrics</w:t>
      </w:r>
      <w:r w:rsidDel="00000000" w:rsidR="00000000" w:rsidRPr="00000000">
        <w:rPr>
          <w:rtl w:val="0"/>
        </w:rPr>
        <w:t xml:space="preserve"> for the phospholipid head groups within the axonal membrane, or should we build out the formal </w:t>
      </w:r>
      <w:r w:rsidDel="00000000" w:rsidR="00000000" w:rsidRPr="00000000">
        <w:rPr>
          <w:b w:val="1"/>
          <w:bCs w:val="1"/>
          <w:rtl w:val="0"/>
        </w:rPr>
        <w:t xml:space="preserve">4-Cole-Cole relaxation curves</w:t>
      </w:r>
      <w:r w:rsidDel="00000000" w:rsidR="00000000" w:rsidRPr="00000000">
        <w:rPr>
          <w:rtl w:val="0"/>
        </w:rPr>
        <w:t xml:space="preserve"> for peripheral nerve trunks under high-frequency electrical strain?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