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Zinc-Induced Gastric Mucosal Neurovulnerability and Hyper-Excited Cortical Synaptic Overload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high-potency </w:t>
      </w:r>
      <w:r w:rsidDel="00000000" w:rsidR="00000000" w:rsidRPr="00000000">
        <w:rPr>
          <w:b w:val="1"/>
          <w:bCs w:val="1"/>
          <w:rtl w:val="0"/>
        </w:rPr>
        <w:t xml:space="preserve">zincum gluconate complex</w:t>
      </w:r>
      <w:r w:rsidDel="00000000" w:rsidR="00000000" w:rsidRPr="00000000">
        <w:rPr>
          <w:rtl w:val="0"/>
        </w:rPr>
        <w:t xml:space="preserve"> (such as TsinKX 100mg) is administered on a completely empty stomach, the absence of food matrices exposes the unshielded stomach walls to rapid chemical dissociation. Instead of being buffered by dietary proteins, the sudden influx of highly concentrated divalent zinc ions (Zn²⁺) interfaces directly with the raw </w:t>
      </w:r>
      <w:r w:rsidDel="00000000" w:rsidR="00000000" w:rsidRPr="00000000">
        <w:rPr>
          <w:b w:val="1"/>
          <w:bCs w:val="1"/>
          <w:rtl w:val="0"/>
        </w:rPr>
        <w:t xml:space="preserve">dielectric lattice of the gastric mucosa</w:t>
      </w:r>
      <w:r w:rsidDel="00000000" w:rsidR="00000000" w:rsidRPr="00000000">
        <w:rPr>
          <w:rtl w:val="0"/>
        </w:rPr>
        <w:t xml:space="preserve"> [VirusTC, 2026]. This direct interaction triggers a localized electrical "short circuit" across the peripheral nerve networks embedded within the stomach wall, while simultaneously driving hyper-excited systemic vectors that alter cortical cognitive signaling.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The Gastric Mechanical Short Circuit: Mucosal Shield Breach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normal physiological conditions, the stomach wall maintains an exceptionally high relative permittivity profile ($\varepsilon_r = 62.2$ at 2.45 GHz) and electrical conductivity (σ = 2.21 S/m) [Gabriel, 1996]. This high-hydration state optimizes the protective electrostatic field of the thick gastric mucous layer, shielding embedded enteric nociceptors from back-diffusion of concentrated hydrochloric acid (HCl).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Concentrated Zincum Influx (No Food) ]</w:t>
        <w:br w:type="textWrapping"/>
        <w:t xml:space="preserve">                 │</w:t>
        <w:br w:type="textWrapping"/>
        <w:t xml:space="preserve">                 ▼</w:t>
        <w:br w:type="textWrapping"/>
        <w:t xml:space="preserve">[ Displacement of Calcium/Magnesium Ions ] ──► Disrupts Epithelial Tight Junctions (Claudins)</w:t>
        <w:br w:type="textWrapping"/>
        <w:t xml:space="preserve">                 │</w:t>
        <w:br w:type="textWrapping"/>
        <w:t xml:space="preserve">                 ▼</w:t>
        <w:br w:type="textWrapping"/>
        <w:t xml:space="preserve">[ Electrical Mucosal "Short Circuit" ] ──► Enteric Nociceptors Exposed Directly to HCl Acid</w:t>
        <w:br w:type="textWrapping"/>
        <w:t xml:space="preserve">                 │</w:t>
        <w:br w:type="textWrapping"/>
        <w:t xml:space="preserve">                 ▼</w:t>
        <w:br w:type="textWrapping"/>
        <w:t xml:space="preserve">[ Inpatient Real-Time Experience ] ──► Severe, Acute Burning Gastrointestinal Pain</w:t>
        <w:br w:type="textWrapping"/>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Tight Junction Dielectric Collapse:</w:t>
      </w:r>
      <w:r w:rsidDel="00000000" w:rsidR="00000000" w:rsidRPr="00000000">
        <w:rPr>
          <w:rtl w:val="0"/>
        </w:rPr>
        <w:t xml:space="preserve"> Divalent zinc ions feature an intense, localized charge density. On an empty stomach, these concentrated ions rapidly displace native calcium (Ca²⁺) and magnesium (Mg²⁺) ions from the extracellular domain of epithelial tight junctions (claudins and occludins). This ion displacement collapses the local dielectric barrier, causing cellular tight junctions to physically unzip.</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Enteric Nociceptor Exposure:</w:t>
      </w:r>
      <w:r w:rsidDel="00000000" w:rsidR="00000000" w:rsidRPr="00000000">
        <w:rPr>
          <w:rtl w:val="0"/>
        </w:rPr>
        <w:t xml:space="preserve"> As tight junctions compromise, the local electrical conductivity of the stomach lining spikes anomalously. The dense HCl pool in the gastric lumen breaches the unzipped mucosal sheet via acid back-diffusion.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Acute Acid Pain Trigger:</w:t>
      </w:r>
      <w:r w:rsidDel="00000000" w:rsidR="00000000" w:rsidRPr="00000000">
        <w:rPr>
          <w:rtl w:val="0"/>
        </w:rPr>
        <w:t xml:space="preserve"> The highly polarized hydronium ions (H₃O⁺) of the gastric acid flood directly into the deep tissue layer, interfacing directly with unshielded enteric nerve endings. This acid exposure shifts the resting membrane potential of local nociceptors, forcing voltage-gated ion channels to fire rapidly. The clinical inpatient literally feels the burning acid inside their stomach wall as acute, severe mechanical pain [VirusTC, 2026].</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The Cortical Hyperactivity Pathway: Zinc-Induced Paranoia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blood plasma maintains a high dielectric constant ($\varepsilon_r = 70.1$) and conductivity (σ = 2.92 S/m), any elemental zinc not bound by gastric mucosal tissue is rapidly drawn into the systemic vascular network [Gabriel, 1996]. This fast-circulating vector crosses the blood-brain barrier, altering the electrical equilibrium of the central nervous system.</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The Cortical Permittivity Infiltration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the brain's grey matter matrix ($\varepsilon_r = 48.9$; σ = 1.81 S/m), zinc is typically sequestered neatly inside synaptic vesicles along specific neuronal pathways to modulate standard baseline transmission [Gabriel, 1996]. However, a sudden unbuffered systemic surge floods the extracellular spaces of the brain with free Zn²⁺ ions.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B. Synaptic Overload Mechanics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excess divalent zinc ions display a potent kinetic draw toward post-synaptic receptors, disrupting the balanced electrostatic matching between neurotransmitters and their receptor pockets: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GABA-A Receptor Blockade:</w:t>
      </w:r>
      <w:r w:rsidDel="00000000" w:rsidR="00000000" w:rsidRPr="00000000">
        <w:rPr>
          <w:rtl w:val="0"/>
        </w:rPr>
        <w:t xml:space="preserve"> Zinc ions bind with high affinity to the extracellular structural domain of inhibitory γ-aminobutyric acid type A ($\text{GABA}_\text{A}$) receptors. This interaction blocks the channel, preventing the influx of chloride (Cl⁻) ions and stripping the brain of its primary electrical damping system.</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Glutamatergic Hyper-Excitation:</w:t>
      </w:r>
      <w:r w:rsidDel="00000000" w:rsidR="00000000" w:rsidRPr="00000000">
        <w:rPr>
          <w:rtl w:val="0"/>
        </w:rPr>
        <w:t xml:space="preserve"> Concurrently, at specific concentrations, zinc alters the spatial frequency of NMDA and AMPA glutamatergic pathways, accelerating excitatory synaptic signaling.</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C. Hyperactivity to Clinical Paranoia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turning off inhibitory GABA circuits and over-activating excitatory glutamate pathways, the free zinc vector causes massive cortical hyperactivity across the neural grid. The brain's activation thresholds drop to dangerously low voltages, causing neurons to fire rapidly in uncontrolled loops. In the clinical inpatient, this hyper-excited state disrupts standard sensory integration, manifesting as acute psychomotor agitation, profound anxiety, and hyper-vigilant paranoia [VirusTC, 2026].</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Multi-Frequency Dielectric and Conductivity Gastric-Cerebral Matrix</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prevent these acute electrical short circuits, clinical teams must enforce pre-dosing dietary protocols. </w:t>
      </w:r>
      <w:r w:rsidDel="00000000" w:rsidR="00000000" w:rsidRPr="00000000">
        <w:rPr>
          <w:b w:val="1"/>
          <w:bCs w:val="1"/>
          <w:rtl w:val="0"/>
        </w:rPr>
        <w:t xml:space="preserve">Table 1</w:t>
      </w:r>
      <w:r w:rsidDel="00000000" w:rsidR="00000000" w:rsidRPr="00000000">
        <w:rPr>
          <w:rtl w:val="0"/>
        </w:rPr>
        <w:t xml:space="preserve"> outlines the baseline biophysical tissue parameters from the </w:t>
      </w:r>
      <w:r w:rsidDel="00000000" w:rsidR="00000000" w:rsidRPr="00000000">
        <w:rPr>
          <w:b w:val="1"/>
          <w:bCs w:val="1"/>
          <w:rtl w:val="0"/>
        </w:rPr>
        <w:t xml:space="preserve">U.S. Air Force Technical Database</w:t>
      </w:r>
      <w:r w:rsidDel="00000000" w:rsidR="00000000" w:rsidRPr="00000000">
        <w:rPr>
          <w:rtl w:val="0"/>
        </w:rPr>
        <w:t xml:space="preserve"> that dictate this gastric-cerebral hyperactivity axis [Gabriel, 1996].</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Anatomical Dielectric Constants ($\varepsilon_r$) and Conductivity (σ)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Tissue System / Target Barrier Layer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Clinical State on Empty Stomach vs. Buffered Food Matrix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Gastrointestinal Interface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Stomach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b w:val="1"/>
                <w:bCs w:val="1"/>
                <w:vertAlign w:val="baseline"/>
                <w:rtl w:val="0"/>
              </w:rPr>
              <w:t xml:space="preserve">Empty:</w:t>
            </w:r>
            <w:r w:rsidDel="00000000" w:rsidR="00000000" w:rsidRPr="00000000">
              <w:rPr>
                <w:vertAlign w:val="baseline"/>
                <w:rtl w:val="0"/>
              </w:rPr>
              <w:t xml:space="preserve"> Ion displacement collapses tight junctions; HCl pain triggers.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Buffered:</w:t>
            </w:r>
            <w:r w:rsidDel="00000000" w:rsidR="00000000" w:rsidRPr="00000000">
              <w:rPr>
                <w:vertAlign w:val="baseline"/>
                <w:rtl w:val="0"/>
              </w:rPr>
              <w:t xml:space="preserve"> Food matrices absorb Zn²⁺, protecting mucosal permittivity.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Intestinal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3.90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0.510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59.4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b w:val="1"/>
                <w:bCs w:val="1"/>
                <w:vertAlign w:val="baseline"/>
                <w:rtl w:val="0"/>
              </w:rPr>
              <w:t xml:space="preserve">Empty:</w:t>
            </w:r>
            <w:r w:rsidDel="00000000" w:rsidR="00000000" w:rsidRPr="00000000">
              <w:rPr>
                <w:vertAlign w:val="baseline"/>
                <w:rtl w:val="0"/>
              </w:rPr>
              <w:t xml:space="preserve"> Rapid, unbuffered transit; accelerated systemic dumping vectors.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Buffered:</w:t>
            </w:r>
            <w:r w:rsidDel="00000000" w:rsidR="00000000" w:rsidRPr="00000000">
              <w:rPr>
                <w:vertAlign w:val="baseline"/>
                <w:rtl w:val="0"/>
              </w:rPr>
              <w:t xml:space="preserve"> Controlled, slow absorption protects systemic fluid balance.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Central Nervous Lattice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Brain (Grey Matter)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3.20 × 10⁶</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48.9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b w:val="1"/>
                <w:bCs w:val="1"/>
                <w:vertAlign w:val="baseline"/>
                <w:rtl w:val="0"/>
              </w:rPr>
              <w:t xml:space="preserve">Empty:</w:t>
            </w:r>
            <w:r w:rsidDel="00000000" w:rsidR="00000000" w:rsidRPr="00000000">
              <w:rPr>
                <w:vertAlign w:val="baseline"/>
                <w:rtl w:val="0"/>
              </w:rPr>
              <w:t xml:space="preserve"> High free Zn²⁺ infiltration; GABA blockade; </w:t>
            </w:r>
            <w:r w:rsidDel="00000000" w:rsidR="00000000" w:rsidRPr="00000000">
              <w:rPr>
                <w:b w:val="1"/>
                <w:bCs w:val="1"/>
                <w:vertAlign w:val="baseline"/>
                <w:rtl w:val="0"/>
              </w:rPr>
              <w:t xml:space="preserve">paranoia/hyperactivity</w:t>
            </w:r>
            <w:r w:rsidDel="00000000" w:rsidR="00000000" w:rsidRPr="00000000">
              <w:rPr>
                <w:vertAlign w:val="baseline"/>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Buffered:</w:t>
            </w:r>
            <w:r w:rsidDel="00000000" w:rsidR="00000000" w:rsidRPr="00000000">
              <w:rPr>
                <w:vertAlign w:val="baseline"/>
                <w:rtl w:val="0"/>
              </w:rPr>
              <w:t xml:space="preserve"> Homeostatic tracking; steady, safe mineral delivery to neural somas.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Cerebrospinal Fluid (CSF)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1.05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b w:val="1"/>
                <w:bCs w:val="1"/>
                <w:vertAlign w:val="baseline"/>
                <w:rtl w:val="0"/>
              </w:rPr>
              <w:t xml:space="preserve">Empty:</w:t>
            </w:r>
            <w:r w:rsidDel="00000000" w:rsidR="00000000" w:rsidRPr="00000000">
              <w:rPr>
                <w:vertAlign w:val="baseline"/>
                <w:rtl w:val="0"/>
              </w:rPr>
              <w:t xml:space="preserve"> High ion concentrations alter baseline electrical signal conduction.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Buffered:</w:t>
            </w:r>
            <w:r w:rsidDel="00000000" w:rsidR="00000000" w:rsidRPr="00000000">
              <w:rPr>
                <w:vertAlign w:val="baseline"/>
                <w:rtl w:val="0"/>
              </w:rPr>
              <w:t xml:space="preserve"> Crystalline fluid vectors remain clean and tightly regulated.</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baseline tissue parameter values are derived directly from calculations established by the Radiofrequency Radiation Division, Brooks Air Force Base [Gabriel, 1996].</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4. Clinical Protocol: Mandatory Food Matrix Stabilization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neutralize this biophysical hazard, </w:t>
      </w:r>
      <w:r w:rsidDel="00000000" w:rsidR="00000000" w:rsidRPr="00000000">
        <w:rPr>
          <w:b w:val="1"/>
          <w:bCs w:val="1"/>
          <w:rtl w:val="0"/>
        </w:rPr>
        <w:t xml:space="preserve">patients must eat a solid meal prior to administering zincum gluconate formulations</w:t>
      </w:r>
      <w:r w:rsidDel="00000000" w:rsidR="00000000" w:rsidRPr="00000000">
        <w:rPr>
          <w:rtl w:val="0"/>
        </w:rPr>
        <w:t xml:space="preserve"> [VirusTC, 2026].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Introducing a dense food matrix (comprising complex carbohydrates and proteins) into the stomach lumen provides an immediate, high-volume biological buffer. The food matrix binds the highly reactive divalent zinc ions, preventing them from interacting directly with the claudin proteins of the tight junctions. This buffering action preserves the native relative permittivity ($\varepsilon_r = 62.2$) of the stomach wall, shields local enteric nociceptors from acid back-diffusion, slows systemic absorption vectors to match physiological homeostatic limits, and completely prevents hyper-excited cortical overload and secondary paranoia [U.S. Food and Drug Administration, 2023; VirusTC, 2026].</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TsinKX 100mg: Institutional product overview and master development mapping</w:t>
      </w:r>
      <w:r w:rsidDel="00000000" w:rsidR="00000000" w:rsidRPr="00000000">
        <w:rPr>
          <w:rtl w:val="0"/>
        </w:rPr>
        <w:t xml:space="preserve"> (Document ID: CL-README-2026-v1.0). Boost Software License Framework Archive. </w:t>
      </w:r>
      <w:hyperlink r:id="rId6">
        <w:r w:rsidDel="00000000" w:rsidR="00000000" w:rsidRPr="00000000">
          <w:rPr>
            <w:color w:val="1155cc"/>
            <w:u w:val="single"/>
            <w:rtl w:val="0"/>
          </w:rPr>
          <w:t xml:space="preserve">github.com</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