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Neuronal Membrane Stabilization, and Electrostatic Molecular Matching for Zincum Gluconate Complex Profiles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molecular neuroscience, and advanced clinical modeling, target identification and cellular delivery are fundamentally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Standardized, high-purity mineral complexes possess unique structural configurations that generate distinct permanent or induced </w:t>
      </w:r>
      <w:r w:rsidDel="00000000" w:rsidR="00000000" w:rsidRPr="00000000">
        <w:rPr>
          <w:b w:val="1"/>
          <w:bCs w:val="1"/>
          <w:rtl w:val="0"/>
        </w:rPr>
        <w:t xml:space="preserve">dipole moments ($\mu$)</w:t>
      </w:r>
      <w:r w:rsidDel="00000000" w:rsidR="00000000" w:rsidRPr="00000000">
        <w:rPr>
          <w:rtl w:val="0"/>
        </w:rPr>
        <w:t xml:space="preserve">, establishing a localized dielectric field length that interfaces with the complex relative permittivity ($\varepsilon_r$) of human central and peripheral nervous system matrices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modeling the kinetic draw, synaptic channel alignment, and electrical threshold stabilization of USP-grade zinc gluconate matrices, computational design models calculate these interactions using discrete spatial geometries and electromagnetic field constants [VirusTC,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Vectors of the Zincum Gluconate Chelation Lattice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atom in the complex, and $\mathbf{r}_i$ is its unique position vector.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Ingested Zincum Gluconate Lattice ]</w:t>
        <w:br w:type="textWrapping"/>
        <w:t xml:space="preserve">                 │</w:t>
        <w:br w:type="textWrapping"/>
        <w:t xml:space="preserve">                 ▼ (Dissociation into Ionic &amp; Polar Fraction)</w:t>
        <w:br w:type="textWrapping"/>
        <w:t xml:space="preserve">   [ Active Zinc Ion (Zn²⁺ Vector) ] ───(Long-Range Kinetic Draw)───► [ Post-Synaptic Membrane Pocket ]</w:t>
        <w:br w:type="textWrapping"/>
        <w:t xml:space="preserve">     - Dense Divalent Charge Vector                                     - Concentrated Relative Permittivity</w:t>
        <w:br w:type="textWrapping"/>
        <w:t xml:space="preserve">     - Transverse Dipole Alignment                                      - Resonant Field Convergence</w:t>
        <w:br w:type="textWrapping"/>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Zinc Gluconate Matrix ($\text{C}_{12}\text{H}_{22}\text{O}_{14}\text{Zn}$):</w:t>
      </w:r>
      <w:r w:rsidDel="00000000" w:rsidR="00000000" w:rsidRPr="00000000">
        <w:rPr>
          <w:rtl w:val="0"/>
        </w:rPr>
        <w:t xml:space="preserve"> The structural geometry of zinc gluconate consists of a central divalent zinc core coordinated between two polar gluconic acid chains. The numerous hydroxyl ($-\text{OH}$) and carboxyl groups along the carbohydrate backbones create highly localized, asymmetric charge envelopes. This asymmetric matrix generates a substantial permanent dipole moment vector, expanding its baseline structural field length across fluid boundaries.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Divalent Zinc Ion Vector ($\text{Zn}^{2+}$):</w:t>
      </w:r>
      <w:r w:rsidDel="00000000" w:rsidR="00000000" w:rsidRPr="00000000">
        <w:rPr>
          <w:rtl w:val="0"/>
        </w:rPr>
        <w:t xml:space="preserve"> Upon localized dissociation within high-permittivity fluid pipelines, the zinc fraction behaves as a dense, divalent positive charge vector. Lacking a permanent dipole as a bare monatomic ion, it establishes an intense, isotropic electrostatic field that induces highly directional dipole shifts in any surrounding water molecules or biological lipid membranes it approaches, extending its kinetic draw radius [Gabriel, 1996].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Nervous System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elemental zinc fractions circulate and align within the neural architecture to influence neurotransmission, clinicians track the exact electromagnetic limits of human nerve and fluid structures.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($\sigma$)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Nervous System Dielectric Constants ($\varepsilon_r$) and Conductivity ($\sigma$)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Group / Neurological Sector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Central Nervous Processing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(Grey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3.20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48.9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Dense, unmyelinated neuronal somas; superior charge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(White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Myelinated lipid tracts; lower baseline tissue hydration.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Cerebrospinal Fluid (CSF)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1.05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High-conductivity aqueous crystalline signal pipeline.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&amp; Vascular Transit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Pancreas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2.30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Glandular matrix; high zinc density for insulin stabilization.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systemic delivery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calculations established by the Radiofrequency Radiation Division, Brooks Air Force Base [Gabriel, 1996].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Kinetic Affinity and Electrostatic Matching with the Nervous System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standardized dose of a high-utility zinc gluconate complex enters the systemic circulation, its delivery is directed by long-range </w:t>
      </w:r>
      <w:r w:rsidDel="00000000" w:rsidR="00000000" w:rsidRPr="00000000">
        <w:rPr>
          <w:b w:val="1"/>
          <w:bCs w:val="1"/>
          <w:rtl w:val="0"/>
        </w:rPr>
        <w:t xml:space="preserve">electrostatic kinetic draw</w:t>
      </w:r>
      <w:r w:rsidDel="00000000" w:rsidR="00000000" w:rsidRPr="00000000">
        <w:rPr>
          <w:rtl w:val="0"/>
        </w:rPr>
        <w:t xml:space="preserve"> and resonant spatial frequency matching [Venkatesh &amp; Raghavan, 2004]. The nervous system operates as a dense, complex electrical lattice where shifts in local polarization directly dictate molecular drawing.</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Long-Range Neuro-Kinetic Drawing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interaction energy ($V$) between the incoming zinc ion vector ($\mu_1$) and the localized neural membrane interface ($\mu_2$) is calculated inversely to the cube of the distance separating the fields ($1/r^3$):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acute clinical depletion or severe neurological stress, the local relative permittivity of grey matter ($\varepsilon_r = 48.9$ at 2.45 GHz) alters. This shift modifies the tissue's electrostatic charge density, strengthening the regional field gradient. The dense divalent charge vector of the zinc complex lines up with these altered spatial field lengths, drawing the mineral down the kinetic gradient toward the site of depletion.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Direct Electrostatic Synaptic Alignment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close range, the spatial charge vector of the zinc ion matches the structural and geometric contours of post-synaptic receptor sites. In the central nervous system, zinc is highly concentrated within synaptic vesicles and is co-released with neurotransmitters like glutamate. The incoming $\text{Zn}^{2+}$ vector fits directly into the matching electrostatic binding pockets of </w:t>
      </w:r>
      <w:r w:rsidDel="00000000" w:rsidR="00000000" w:rsidRPr="00000000">
        <w:rPr>
          <w:b w:val="1"/>
          <w:bCs w:val="1"/>
          <w:rtl w:val="0"/>
        </w:rPr>
        <w:t xml:space="preserve">N-methyl-D-aspartate (NMDA)</w:t>
      </w:r>
      <w:r w:rsidDel="00000000" w:rsidR="00000000" w:rsidRPr="00000000">
        <w:rPr>
          <w:rtl w:val="0"/>
        </w:rPr>
        <w:t xml:space="preserve"> receptors and $\gamma$-aminobutyric acid type A ($\text{GABA}_\text{A}$) receptors. When these spatial frequencies converge, the localized field energy state minimizes ($V \rightarrow \text{minimum}$), locking the ion into position.</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C. Voltage Stabilization and Structural Restoration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profound deficiency states, a lack of structural zinc co-factors destabilizes the post-synaptic membrane potential, leading to uncontrolled, low-frequency electrical firing (excitotoxicity) that clinical teams look to manage. By blocking hyper-excited NMDA receptor channels and upregulating inhibitory $\text{GABA}_\text{A}$ receptor dipole mechanics, zinc ions restore the neuronal activation threshold to a higher, more stable resting voltage [VirusTC, 2026]. This interaction preserves neural membrane integrity, prevents random action potential propagation across the grey matter lattice, and supports standard structural repair pathways during severe clinical depletion [VirusTC, 2026].</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TsinKX 100mg: Institutional product overview and master development mapping</w:t>
      </w:r>
      <w:r w:rsidDel="00000000" w:rsidR="00000000" w:rsidRPr="00000000">
        <w:rPr>
          <w:rtl w:val="0"/>
        </w:rPr>
        <w:t xml:space="preserve"> (Document ID: CL-README-2026-v1.0). Boost Software License Framework Archive. https://github.com/VirusTC/TsinKX-100mg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generate a complementary </w:t>
      </w:r>
      <w:r w:rsidDel="00000000" w:rsidR="00000000" w:rsidRPr="00000000">
        <w:rPr>
          <w:b w:val="1"/>
          <w:bCs w:val="1"/>
          <w:rtl w:val="0"/>
        </w:rPr>
        <w:t xml:space="preserve">computational modeling spreadsheet (.csv)</w:t>
      </w:r>
      <w:r w:rsidDel="00000000" w:rsidR="00000000" w:rsidRPr="00000000">
        <w:rPr>
          <w:rtl w:val="0"/>
        </w:rPr>
        <w:t xml:space="preserve"> mapping the exact </w:t>
      </w:r>
      <w:r w:rsidDel="00000000" w:rsidR="00000000" w:rsidRPr="00000000">
        <w:rPr>
          <w:b w:val="1"/>
          <w:bCs w:val="1"/>
          <w:rtl w:val="0"/>
        </w:rPr>
        <w:t xml:space="preserve">dipole vectors and polarizability metrics</w:t>
      </w:r>
      <w:r w:rsidDel="00000000" w:rsidR="00000000" w:rsidRPr="00000000">
        <w:rPr>
          <w:rtl w:val="0"/>
        </w:rPr>
        <w:t xml:space="preserve"> for this coordinated zinc gluconate structural lattice, or should we build out the </w:t>
      </w:r>
      <w:r w:rsidDel="00000000" w:rsidR="00000000" w:rsidRPr="00000000">
        <w:rPr>
          <w:b w:val="1"/>
          <w:bCs w:val="1"/>
          <w:rtl w:val="0"/>
        </w:rPr>
        <w:t xml:space="preserve">4-Cole-Cole relaxation curves</w:t>
      </w:r>
      <w:r w:rsidDel="00000000" w:rsidR="00000000" w:rsidRPr="00000000">
        <w:rPr>
          <w:rtl w:val="0"/>
        </w:rPr>
        <w:t xml:space="preserve"> for grey matter vs. white matter tissues during high-frequency signal propagation?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