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STANDARD OPERATING PROCEDURE</w:t>
      </w:r>
    </w:p>
    <w:p>
      <w:pPr>
        <w:spacing w:after="40"/>
        <w:jc w:val="center"/>
      </w:pPr>
      <w:r>
        <w:rPr>
          <w:i/>
          <w:iCs/>
          <w:color w:val="595959"/>
          <w:sz w:val="24"/>
          <w:szCs w:val="24"/>
        </w:rPr>
        <w:t xml:space="preserve">Client Onboarding &amp; Payment Processing Operations</w:t>
      </w:r>
    </w:p>
    <w:p>
      <w:pPr>
        <w:spacing w:after="400"/>
        <w:jc w:val="center"/>
      </w:pPr>
      <w:r>
        <w:rPr>
          <w:color w:val="808080"/>
          <w:sz w:val="18"/>
          <w:szCs w:val="18"/>
        </w:rPr>
        <w:t xml:space="preserve">Document Type: Internal Operations SOP (Simulation)   |   Version 1.0</w:t>
      </w:r>
    </w:p>
    <w:p>
      <w:pPr>
        <w:pStyle w:val="Heading1"/>
        <w:spacing w:after="100" w:before="220"/>
      </w:pPr>
      <w:r>
        <w:t xml:space="preserve">1. Purpose</w:t>
      </w:r>
    </w:p>
    <w:p>
      <w:pPr>
        <w:spacing w:after="140"/>
      </w:pPr>
      <w:r>
        <w:rPr>
          <w:sz w:val="22"/>
          <w:szCs w:val="22"/>
        </w:rPr>
        <w:t xml:space="preserve">This SOP defines the standard steps followed by the Operations team to onboard a new client and process their payment transactions, including how exceptions are identified, categorised, and resolved. It applies to Individual and Corporate customers across UPI, IMPS, NEFT, RTGS, and SWIFT payment types.</w:t>
      </w:r>
    </w:p>
    <w:p>
      <w:pPr>
        <w:pStyle w:val="Heading1"/>
        <w:spacing w:after="100" w:before="220"/>
      </w:pPr>
      <w:r>
        <w:t xml:space="preserve">2. Scope</w:t>
      </w:r>
    </w:p>
    <w:p>
      <w:pPr>
        <w:spacing w:after="140"/>
      </w:pPr>
      <w:r>
        <w:rPr>
          <w:sz w:val="22"/>
          <w:szCs w:val="22"/>
        </w:rPr>
        <w:t xml:space="preserve">Covers the customer lifecycle from application receipt through onboarding decision, and the payment lifecycle from transaction initiation through exception resolution. Does not cover core banking system configuration or regulatory filing procedures.</w:t>
      </w:r>
    </w:p>
    <w:p>
      <w:pPr>
        <w:pStyle w:val="Heading1"/>
        <w:spacing w:after="100" w:before="220"/>
      </w:pPr>
      <w:r>
        <w:t xml:space="preserve">3. Client Onboarding Procedure</w:t>
      </w:r>
    </w:p>
    <w:p>
      <w:pPr>
        <w:spacing w:after="100"/>
      </w:pPr>
      <w:r>
        <w:rPr>
          <w:b/>
          <w:bCs/>
          <w:sz w:val="22"/>
          <w:szCs w:val="22"/>
        </w:rPr>
        <w:t xml:space="preserve">1. </w:t>
      </w:r>
      <w:r>
        <w:rPr>
          <w:sz w:val="22"/>
          <w:szCs w:val="22"/>
        </w:rPr>
        <w:t xml:space="preserve">Receive application and supporting documents (PAN, Aadhaar/COI, address proof, and category-specific documents).</w:t>
      </w:r>
    </w:p>
    <w:p>
      <w:pPr>
        <w:spacing w:after="100"/>
      </w:pPr>
      <w:r>
        <w:rPr>
          <w:b/>
          <w:bCs/>
          <w:sz w:val="22"/>
          <w:szCs w:val="22"/>
        </w:rPr>
        <w:t xml:space="preserve">2. </w:t>
      </w:r>
      <w:r>
        <w:rPr>
          <w:sz w:val="22"/>
          <w:szCs w:val="22"/>
        </w:rPr>
        <w:t xml:space="preserve">Check document completeness. If any mandatory document is missing, mark status as Incomplete and hold the application as Pending.</w:t>
      </w:r>
    </w:p>
    <w:p>
      <w:pPr>
        <w:spacing w:after="100"/>
      </w:pPr>
      <w:r>
        <w:rPr>
          <w:b/>
          <w:bCs/>
          <w:sz w:val="22"/>
          <w:szCs w:val="22"/>
        </w:rPr>
        <w:t xml:space="preserve">3. </w:t>
      </w:r>
      <w:r>
        <w:rPr>
          <w:sz w:val="22"/>
          <w:szCs w:val="22"/>
        </w:rPr>
        <w:t xml:space="preserve">If documents are complete, assign a Risk Category (Low / Medium / High) based on customer profile and transaction expectations.</w:t>
      </w:r>
    </w:p>
    <w:p>
      <w:pPr>
        <w:spacing w:after="100"/>
      </w:pPr>
      <w:r>
        <w:rPr>
          <w:b/>
          <w:bCs/>
          <w:sz w:val="22"/>
          <w:szCs w:val="22"/>
        </w:rPr>
        <w:t xml:space="preserve">4. </w:t>
      </w:r>
      <w:r>
        <w:rPr>
          <w:sz w:val="22"/>
          <w:szCs w:val="22"/>
        </w:rPr>
        <w:t xml:space="preserve">Route High Risk applications for manual verification before proceeding.</w:t>
      </w:r>
    </w:p>
    <w:p>
      <w:pPr>
        <w:spacing w:after="100"/>
      </w:pPr>
      <w:r>
        <w:rPr>
          <w:b/>
          <w:bCs/>
          <w:sz w:val="22"/>
          <w:szCs w:val="22"/>
        </w:rPr>
        <w:t xml:space="preserve">5. </w:t>
      </w:r>
      <w:r>
        <w:rPr>
          <w:sz w:val="22"/>
          <w:szCs w:val="22"/>
        </w:rPr>
        <w:t xml:space="preserve">Verify submitted documents against the SLA target for the assigned risk category (Low: 3 days, Medium: 5 days, High: 7 days).</w:t>
      </w:r>
    </w:p>
    <w:p>
      <w:pPr>
        <w:spacing w:after="100"/>
      </w:pPr>
      <w:r>
        <w:rPr>
          <w:b/>
          <w:bCs/>
          <w:sz w:val="22"/>
          <w:szCs w:val="22"/>
        </w:rPr>
        <w:t xml:space="preserve">6. </w:t>
      </w:r>
      <w:r>
        <w:rPr>
          <w:sz w:val="22"/>
          <w:szCs w:val="22"/>
        </w:rPr>
        <w:t xml:space="preserve">Record the decision as Approved or Rejected. If Rejected, capture a specific rejection reason for audit purposes.</w:t>
      </w:r>
    </w:p>
    <w:p>
      <w:pPr>
        <w:spacing w:after="100"/>
      </w:pPr>
      <w:r>
        <w:rPr>
          <w:b/>
          <w:bCs/>
          <w:sz w:val="22"/>
          <w:szCs w:val="22"/>
        </w:rPr>
        <w:t xml:space="preserve">7. </w:t>
      </w:r>
      <w:r>
        <w:rPr>
          <w:sz w:val="22"/>
          <w:szCs w:val="22"/>
        </w:rPr>
        <w:t xml:space="preserve">Only Approved customers are permitted to initiate payment transactions.</w:t>
      </w:r>
    </w:p>
    <w:p>
      <w:pPr>
        <w:pStyle w:val="Heading1"/>
        <w:spacing w:after="100" w:before="220"/>
      </w:pPr>
      <w:r>
        <w:t xml:space="preserve">4. Payment Processing Procedure</w:t>
      </w:r>
    </w:p>
    <w:p>
      <w:pPr>
        <w:spacing w:after="100"/>
      </w:pPr>
      <w:r>
        <w:rPr>
          <w:b/>
          <w:bCs/>
          <w:sz w:val="22"/>
          <w:szCs w:val="22"/>
        </w:rPr>
        <w:t xml:space="preserve">1. </w:t>
      </w:r>
      <w:r>
        <w:rPr>
          <w:sz w:val="22"/>
          <w:szCs w:val="22"/>
        </w:rPr>
        <w:t xml:space="preserve">Maker initiates the payment instruction with transaction details (amount, payment type, beneficiary).</w:t>
      </w:r>
    </w:p>
    <w:p>
      <w:pPr>
        <w:spacing w:after="100"/>
      </w:pPr>
      <w:r>
        <w:rPr>
          <w:b/>
          <w:bCs/>
          <w:sz w:val="22"/>
          <w:szCs w:val="22"/>
        </w:rPr>
        <w:t xml:space="preserve">2. </w:t>
      </w:r>
      <w:r>
        <w:rPr>
          <w:sz w:val="22"/>
          <w:szCs w:val="22"/>
        </w:rPr>
        <w:t xml:space="preserve">Checker independently reviews and approves the transaction. The Maker and Checker must always be two different individuals.</w:t>
      </w:r>
    </w:p>
    <w:p>
      <w:pPr>
        <w:spacing w:after="100"/>
      </w:pPr>
      <w:r>
        <w:rPr>
          <w:b/>
          <w:bCs/>
          <w:sz w:val="22"/>
          <w:szCs w:val="22"/>
        </w:rPr>
        <w:t xml:space="preserve">3. </w:t>
      </w:r>
      <w:r>
        <w:rPr>
          <w:sz w:val="22"/>
          <w:szCs w:val="22"/>
        </w:rPr>
        <w:t xml:space="preserve">System validates the transaction: IFSC code, beneficiary details, and available balance.</w:t>
      </w:r>
    </w:p>
    <w:p>
      <w:pPr>
        <w:spacing w:after="100"/>
      </w:pPr>
      <w:r>
        <w:rPr>
          <w:b/>
          <w:bCs/>
          <w:sz w:val="22"/>
          <w:szCs w:val="22"/>
        </w:rPr>
        <w:t xml:space="preserve">4. </w:t>
      </w:r>
      <w:r>
        <w:rPr>
          <w:sz w:val="22"/>
          <w:szCs w:val="22"/>
        </w:rPr>
        <w:t xml:space="preserve">RTGS is permitted only for amounts above ₹2,00,000; SWIFT requires beneficiary bank validation before release.</w:t>
      </w:r>
    </w:p>
    <w:p>
      <w:pPr>
        <w:spacing w:after="100"/>
      </w:pPr>
      <w:r>
        <w:rPr>
          <w:b/>
          <w:bCs/>
          <w:sz w:val="22"/>
          <w:szCs w:val="22"/>
        </w:rPr>
        <w:t xml:space="preserve">5. </w:t>
      </w:r>
      <w:r>
        <w:rPr>
          <w:sz w:val="22"/>
          <w:szCs w:val="22"/>
        </w:rPr>
        <w:t xml:space="preserve">If validation passes, the payment is marked Success. If not, it is marked Failed, Pending, or Reversed and moved to the Exception Queue.</w:t>
      </w:r>
    </w:p>
    <w:p>
      <w:pPr>
        <w:pStyle w:val="Heading1"/>
        <w:spacing w:after="100" w:before="220"/>
      </w:pPr>
      <w:r>
        <w:t xml:space="preserve">5. Exception Management Procedure</w:t>
      </w:r>
    </w:p>
    <w:p>
      <w:pPr>
        <w:spacing w:after="100"/>
      </w:pPr>
      <w:r>
        <w:rPr>
          <w:b/>
          <w:bCs/>
          <w:sz w:val="22"/>
          <w:szCs w:val="22"/>
        </w:rPr>
        <w:t xml:space="preserve">1. </w:t>
      </w:r>
      <w:r>
        <w:rPr>
          <w:sz w:val="22"/>
          <w:szCs w:val="22"/>
        </w:rPr>
        <w:t xml:space="preserve">Every Failed, Pending, or Reversed payment is automatically logged into the Exception Queue.</w:t>
      </w:r>
    </w:p>
    <w:p>
      <w:pPr>
        <w:spacing w:after="100"/>
      </w:pPr>
      <w:r>
        <w:rPr>
          <w:b/>
          <w:bCs/>
          <w:sz w:val="22"/>
          <w:szCs w:val="22"/>
        </w:rPr>
        <w:t xml:space="preserve">2. </w:t>
      </w:r>
      <w:r>
        <w:rPr>
          <w:sz w:val="22"/>
          <w:szCs w:val="22"/>
        </w:rPr>
        <w:t xml:space="preserve">Assign an Exception Category based on root cause (e.g. Invalid Account Number, Wrong IFSC, Insufficient Funds, Duplicate Payment, Sanctions Hold).</w:t>
      </w:r>
    </w:p>
    <w:p>
      <w:pPr>
        <w:spacing w:after="100"/>
      </w:pPr>
      <w:r>
        <w:rPr>
          <w:b/>
          <w:bCs/>
          <w:sz w:val="22"/>
          <w:szCs w:val="22"/>
        </w:rPr>
        <w:t xml:space="preserve">3. </w:t>
      </w:r>
      <w:r>
        <w:rPr>
          <w:sz w:val="22"/>
          <w:szCs w:val="22"/>
        </w:rPr>
        <w:t xml:space="preserve">Assign a Resolution Owner: Operations Team for standard corrections/retries, Compliance Team for sanctions or beneficiary validation issues.</w:t>
      </w:r>
    </w:p>
    <w:p>
      <w:pPr>
        <w:spacing w:after="100"/>
      </w:pPr>
      <w:r>
        <w:rPr>
          <w:b/>
          <w:bCs/>
          <w:sz w:val="22"/>
          <w:szCs w:val="22"/>
        </w:rPr>
        <w:t xml:space="preserve">4. </w:t>
      </w:r>
      <w:r>
        <w:rPr>
          <w:sz w:val="22"/>
          <w:szCs w:val="22"/>
        </w:rPr>
        <w:t xml:space="preserve">Apply the Resolution Action: Retry, Manual Correction, Reversal, or Escalation.</w:t>
      </w:r>
    </w:p>
    <w:p>
      <w:pPr>
        <w:spacing w:after="100"/>
      </w:pPr>
      <w:r>
        <w:rPr>
          <w:b/>
          <w:bCs/>
          <w:sz w:val="22"/>
          <w:szCs w:val="22"/>
        </w:rPr>
        <w:t xml:space="preserve">5. </w:t>
      </w:r>
      <w:r>
        <w:rPr>
          <w:sz w:val="22"/>
          <w:szCs w:val="22"/>
        </w:rPr>
        <w:t xml:space="preserve">Update status to Resolved once the resolution is confirmed, with Resolution TAT recorded.</w:t>
      </w:r>
    </w:p>
    <w:p>
      <w:pPr>
        <w:pStyle w:val="Heading1"/>
        <w:spacing w:after="100" w:before="220"/>
      </w:pPr>
      <w:r>
        <w:t xml:space="preserve">6. Roles &amp;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Pr>
          <w:p>
            <w:r>
              <w:rPr>
                <w:b/>
                <w:bCs/>
                <w:color w:val="FFFFFF"/>
                <w:sz w:val="20"/>
                <w:szCs w:val="20"/>
              </w:rPr>
              <w:t xml:space="preserve">Role</w:t>
            </w:r>
          </w:p>
        </w:tc>
        <w:tc>
          <w:tcPr>
            <w:tcW w:type="dxa" w:w="6000"/>
            <w:shd w:fill="1F3864" w:val="clear"/>
          </w:tcPr>
          <w:p>
            <w:r>
              <w:rPr>
                <w:b/>
                <w:bCs/>
                <w:color w:val="FFFFFF"/>
                <w:sz w:val="20"/>
                <w:szCs w:val="20"/>
              </w:rPr>
              <w:t xml:space="preserve">Responsibility</w:t>
            </w:r>
          </w:p>
        </w:tc>
      </w:tr>
      <w:tr>
        <w:tc>
          <w:tcPr>
            <w:tcW w:type="dxa" w:w="3000"/>
          </w:tcPr>
          <w:p>
            <w:r>
              <w:rPr>
                <w:sz w:val="20"/>
                <w:szCs w:val="20"/>
              </w:rPr>
              <w:t xml:space="preserve">Operations Analyst</w:t>
            </w:r>
          </w:p>
        </w:tc>
        <w:tc>
          <w:tcPr>
            <w:tcW w:type="dxa" w:w="6000"/>
          </w:tcPr>
          <w:p>
            <w:r>
              <w:rPr>
                <w:sz w:val="20"/>
                <w:szCs w:val="20"/>
              </w:rPr>
              <w:t xml:space="preserve">Document verification, application decisioning, payment initiation (Maker), standard exception resolution</w:t>
            </w:r>
          </w:p>
        </w:tc>
      </w:tr>
      <w:tr>
        <w:tc>
          <w:tcPr>
            <w:tcW w:type="dxa" w:w="3000"/>
          </w:tcPr>
          <w:p>
            <w:r>
              <w:rPr>
                <w:sz w:val="20"/>
                <w:szCs w:val="20"/>
              </w:rPr>
              <w:t xml:space="preserve">Operations Supervisor</w:t>
            </w:r>
          </w:p>
        </w:tc>
        <w:tc>
          <w:tcPr>
            <w:tcW w:type="dxa" w:w="6000"/>
          </w:tcPr>
          <w:p>
            <w:r>
              <w:rPr>
                <w:sz w:val="20"/>
                <w:szCs w:val="20"/>
              </w:rPr>
              <w:t xml:space="preserve">Payment approval (Checker), SLA monitoring, escalation review</w:t>
            </w:r>
          </w:p>
        </w:tc>
      </w:tr>
      <w:tr>
        <w:tc>
          <w:tcPr>
            <w:tcW w:type="dxa" w:w="3000"/>
          </w:tcPr>
          <w:p>
            <w:r>
              <w:rPr>
                <w:sz w:val="20"/>
                <w:szCs w:val="20"/>
              </w:rPr>
              <w:t xml:space="preserve">Compliance Team</w:t>
            </w:r>
          </w:p>
        </w:tc>
        <w:tc>
          <w:tcPr>
            <w:tcW w:type="dxa" w:w="6000"/>
          </w:tcPr>
          <w:p>
            <w:r>
              <w:rPr>
                <w:sz w:val="20"/>
                <w:szCs w:val="20"/>
              </w:rPr>
              <w:t xml:space="preserve">Sanctions hold review, beneficiary validation escalations</w:t>
            </w:r>
          </w:p>
        </w:tc>
      </w:tr>
    </w:tbl>
    <w:p>
      <w:pPr>
        <w:spacing w:before="200"/>
      </w:pPr>
    </w:p>
    <w:p>
      <w:pPr>
        <w:pStyle w:val="Heading1"/>
        <w:spacing w:after="100" w:before="220"/>
      </w:pPr>
      <w:r>
        <w:t xml:space="preserve">7. Related Documents</w:t>
      </w:r>
    </w:p>
    <w:p>
      <w:pPr>
        <w:pStyle w:val="ListParagraph"/>
        <w:numPr>
          <w:ilvl w:val="0"/>
          <w:numId w:val="1"/>
        </w:numPr>
        <w:spacing w:after="60"/>
        <w:ind w:left="400"/>
      </w:pPr>
      <w:r>
        <w:t xml:space="preserve">Business Rules Sheet — Banking_Operations_Simulation.xlsx</w:t>
      </w:r>
    </w:p>
    <w:p>
      <w:pPr>
        <w:pStyle w:val="ListParagraph"/>
        <w:numPr>
          <w:ilvl w:val="0"/>
          <w:numId w:val="1"/>
        </w:numPr>
        <w:spacing w:after="60"/>
        <w:ind w:left="400"/>
      </w:pPr>
      <w:r>
        <w:t xml:space="preserve">Audit Trail Log — Banking_Operations_Simulation.xlsx</w:t>
      </w:r>
    </w:p>
    <w:p>
      <w:pPr>
        <w:pStyle w:val="ListParagraph"/>
        <w:numPr>
          <w:ilvl w:val="0"/>
          <w:numId w:val="1"/>
        </w:numPr>
        <w:spacing w:after="60"/>
        <w:ind w:left="400"/>
      </w:pPr>
      <w:r>
        <w:t xml:space="preserve">Project Report — Project_Report.docx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2026-07-10T03:54:30.272Z</dcterms:created>
  <dcterms:modified xsi:type="dcterms:W3CDTF">2026-07-10T03:54:30.284Z</dcterms:modified>
</cp:coreProperties>
</file>

<file path=docProps/custom.xml><?xml version="1.0" encoding="utf-8"?>
<Properties xmlns="http://schemas.openxmlformats.org/officeDocument/2006/custom-properties" xmlns:vt="http://schemas.openxmlformats.org/officeDocument/2006/docPropsVTypes"/>
</file>